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BC" w:rsidRPr="000638BC" w:rsidRDefault="000638BC" w:rsidP="000638BC">
      <w:pPr>
        <w:spacing w:after="0" w:line="240" w:lineRule="auto"/>
        <w:jc w:val="both"/>
        <w:rPr>
          <w:rFonts w:eastAsia="Times New Roman" w:cs="Times New Roman"/>
          <w:sz w:val="40"/>
          <w:szCs w:val="40"/>
          <w:lang w:eastAsia="el-GR"/>
        </w:rPr>
      </w:pPr>
      <w:r>
        <w:rPr>
          <w:rFonts w:eastAsia="Times New Roman" w:cs="Times New Roman"/>
          <w:sz w:val="40"/>
          <w:szCs w:val="40"/>
          <w:lang w:eastAsia="el-GR"/>
        </w:rPr>
        <w:t>Σ</w:t>
      </w:r>
      <w:r w:rsidRPr="000638BC">
        <w:rPr>
          <w:rFonts w:eastAsia="Times New Roman" w:cs="Times New Roman"/>
          <w:sz w:val="40"/>
          <w:szCs w:val="40"/>
          <w:lang w:eastAsia="el-GR"/>
        </w:rPr>
        <w:t xml:space="preserve">υνέχειες και α-συνέχειες στο ελληνικό σχολείο </w:t>
      </w:r>
    </w:p>
    <w:p w:rsidR="000638BC" w:rsidRPr="000638BC" w:rsidRDefault="000638BC" w:rsidP="000638BC">
      <w:pPr>
        <w:spacing w:after="0" w:line="240" w:lineRule="auto"/>
        <w:jc w:val="both"/>
        <w:rPr>
          <w:rFonts w:eastAsia="Times New Roman" w:cs="Times New Roman"/>
          <w:sz w:val="40"/>
          <w:szCs w:val="40"/>
          <w:lang w:eastAsia="el-GR"/>
        </w:rPr>
      </w:pPr>
      <w:proofErr w:type="spellStart"/>
      <w:r w:rsidRPr="000638BC">
        <w:rPr>
          <w:rFonts w:eastAsia="Times New Roman" w:cs="Times New Roman"/>
          <w:sz w:val="40"/>
          <w:szCs w:val="40"/>
          <w:lang w:eastAsia="el-GR"/>
        </w:rPr>
        <w:t>Τζέλλα</w:t>
      </w:r>
      <w:proofErr w:type="spellEnd"/>
      <w:r w:rsidRPr="000638BC">
        <w:rPr>
          <w:rFonts w:eastAsia="Times New Roman" w:cs="Times New Roman"/>
          <w:sz w:val="40"/>
          <w:szCs w:val="40"/>
          <w:lang w:eastAsia="el-GR"/>
        </w:rPr>
        <w:t xml:space="preserve"> Βαρνάβα-Σκούρα </w:t>
      </w:r>
    </w:p>
    <w:p w:rsidR="000638BC" w:rsidRPr="000638BC" w:rsidRDefault="000638BC" w:rsidP="000638BC">
      <w:pPr>
        <w:spacing w:after="0" w:line="240" w:lineRule="auto"/>
        <w:jc w:val="both"/>
        <w:rPr>
          <w:rFonts w:eastAsia="Times New Roman" w:cs="Times New Roman"/>
          <w:sz w:val="40"/>
          <w:szCs w:val="40"/>
          <w:lang w:eastAsia="el-GR"/>
        </w:rPr>
      </w:pPr>
      <w:r w:rsidRPr="000638BC">
        <w:rPr>
          <w:rFonts w:eastAsia="Times New Roman" w:cs="Times New Roman"/>
          <w:sz w:val="40"/>
          <w:szCs w:val="40"/>
          <w:lang w:eastAsia="el-GR"/>
        </w:rPr>
        <w:t xml:space="preserve">Καθηγήτρια στο πανεπιστήμιο Αθηνών </w:t>
      </w:r>
    </w:p>
    <w:p w:rsidR="000638BC" w:rsidRPr="000638BC" w:rsidRDefault="000638BC" w:rsidP="000638BC">
      <w:pPr>
        <w:spacing w:after="0" w:line="240" w:lineRule="auto"/>
        <w:jc w:val="both"/>
        <w:rPr>
          <w:rFonts w:eastAsia="Times New Roman" w:cs="Times New Roman"/>
          <w:sz w:val="40"/>
          <w:szCs w:val="40"/>
          <w:lang w:eastAsia="el-GR"/>
        </w:rPr>
      </w:pPr>
    </w:p>
    <w:p w:rsidR="000638BC" w:rsidRPr="000638BC" w:rsidRDefault="000638BC" w:rsidP="000638BC">
      <w:pPr>
        <w:spacing w:after="0" w:line="240" w:lineRule="auto"/>
        <w:jc w:val="both"/>
        <w:rPr>
          <w:rFonts w:eastAsia="Times New Roman" w:cs="Times New Roman"/>
          <w:sz w:val="40"/>
          <w:szCs w:val="40"/>
          <w:lang w:eastAsia="el-GR"/>
        </w:rPr>
      </w:pPr>
      <w:r w:rsidRPr="000638BC">
        <w:rPr>
          <w:rFonts w:eastAsia="Times New Roman" w:cs="Times New Roman"/>
          <w:sz w:val="40"/>
          <w:szCs w:val="40"/>
          <w:lang w:eastAsia="el-GR"/>
        </w:rPr>
        <w:t xml:space="preserve">Πριν από περίπου τριάντα χρόνια μετά την πτώση της δικτατορίας με τον εκδημοκρατισμό της πολιτικής ζωής και τους κοινωνικούς και οικονομικούς μετασχηματισμούς που ακολούθησαν έγιναν σημαντικές ενέργειες για τον εκδημοκρατισμό του σχολείου η θεσμοθέτηση της δημοτικής γλώσσας η γενίκευση της πρόσβασης στο γυμνάσιο η κατάργηση του θεσμού του επιθεωρητή και η δημιουργία του θεσμού του σχολικού συμβούλου η αναβάθμιση των σπουδών των εκπαιδευτικών της πρωτοβάθμιας εκπαίδευσης νηπιαγωγών και δασκάλων με την ίδρυση των παιδαγωγικών πανεπιστημιακών τμημάτων η αναμόρφωση των αναλυτικών προγραμμάτων αποτέλεσαν τα πιο βασικά μέτρα τα οποία αποσκοπούσαν στην αντιμετώπιση της πρόκλησης για την αλλαγή της κυρίαρχης αυταρχικής κουλτούρας του ελληνικού σχολείου και στη μείωση των ανισοτήτων στην πρόσβαση στη γνώση παρ όλα αυτά σήμερα η ανισότητα στη μάθηση εξακολουθεί να αποτελεί ένα έντονο κοινωνικό και εκπαιδευτικό φαινόμενο που ξεκινά από την πρωτοβάθμια εκπαίδευση και γίνεται πιο εμφανής ως σχολική αποτυχία και εγκατάλειψη </w:t>
      </w:r>
      <w:r w:rsidRPr="000638BC">
        <w:rPr>
          <w:rFonts w:eastAsia="Times New Roman" w:cs="Times New Roman"/>
          <w:sz w:val="40"/>
          <w:szCs w:val="40"/>
          <w:lang w:eastAsia="el-GR"/>
        </w:rPr>
        <w:lastRenderedPageBreak/>
        <w:t xml:space="preserve">του σχολείου στο γυμνάσιο και στο λύκειο όπου το θέμα της επίδοσης είναι πιο κρίσιμο και οι όροι για την προαγωγή στην επόμενη τάξη </w:t>
      </w:r>
    </w:p>
    <w:p w:rsidR="000638BC" w:rsidRPr="000638BC" w:rsidRDefault="000638BC" w:rsidP="000638BC">
      <w:pPr>
        <w:spacing w:after="0" w:line="240" w:lineRule="auto"/>
        <w:jc w:val="both"/>
        <w:rPr>
          <w:rFonts w:eastAsia="Times New Roman" w:cs="Times New Roman"/>
          <w:sz w:val="40"/>
          <w:szCs w:val="40"/>
          <w:lang w:eastAsia="el-GR"/>
        </w:rPr>
      </w:pPr>
      <w:r w:rsidRPr="000638BC">
        <w:rPr>
          <w:rFonts w:eastAsia="Times New Roman" w:cs="Times New Roman"/>
          <w:sz w:val="40"/>
          <w:szCs w:val="40"/>
          <w:lang w:eastAsia="el-GR"/>
        </w:rPr>
        <w:t xml:space="preserve">είναι πιο αυστηροί η αλήθεια είναι ότι αυτή η σχολική πραγματικότητα εμφανίζεται, περισσότερο ή λιγότερο έντονα σε όλες τις ευρωπαϊκές χώρες και εντοπίζεται σε περιοχές οι οποίες πλήττονται ιδιαίτερα από τις </w:t>
      </w:r>
      <w:proofErr w:type="spellStart"/>
      <w:r w:rsidRPr="000638BC">
        <w:rPr>
          <w:rFonts w:eastAsia="Times New Roman" w:cs="Times New Roman"/>
          <w:sz w:val="40"/>
          <w:szCs w:val="40"/>
          <w:lang w:eastAsia="el-GR"/>
        </w:rPr>
        <w:t>κοινωνικoοικονομικές</w:t>
      </w:r>
      <w:proofErr w:type="spellEnd"/>
      <w:r w:rsidRPr="000638BC">
        <w:rPr>
          <w:rFonts w:eastAsia="Times New Roman" w:cs="Times New Roman"/>
          <w:sz w:val="40"/>
          <w:szCs w:val="40"/>
          <w:lang w:eastAsia="el-GR"/>
        </w:rPr>
        <w:t xml:space="preserve"> ανισότητες. Σε πολλές ευρωπαϊκές χώρες π χ Γαλλία Βρετανία Σουηδία Πορτογαλία Βέλγιο διαμορφώθηκαν πολιτικές εκπαιδευτικής προτεραιότητας για την πρόληψη και την αντιμετώπιση της σχολικής αποτυχίας. Αυτές οι πολιτικές, σε κάποιες περιπτώσεις διαμόρφωσαν ένα πεδίο πρωτοπόρων παιδαγωγικών πειραματισμών που ξεπέρασαν τα όρια των σχολείων και των περιοχών στις οποίες αρχικά εφαρμόστηκαν σηματοδοτώντας έτσι μια πορεία προς τον εκδημοκρατισμό και την αλλαγή της σχολικής κουλτούρας συνολικά στην Ελλάδα παρ όλο που ακόμη και σήμερα δεν έχουμε μια συνεκτική πολιτική εκπαιδευτικής προτεραιότητας, με τις δυνατότητες που προσέφεραν τα κοινοτικά πλαίσια στήριξης πραγματοποιήθηκαν αξιόλογες εκπαιδευτικές δράσεις προς αυτή την κατεύθυνση πολλές από αυτές στηρίχτηκαν σε συνεργασίες του υπουργείου Παιδείας με τα πανεπιστήμια της </w:t>
      </w:r>
      <w:r w:rsidRPr="000638BC">
        <w:rPr>
          <w:rFonts w:eastAsia="Times New Roman" w:cs="Times New Roman"/>
          <w:sz w:val="40"/>
          <w:szCs w:val="40"/>
          <w:lang w:eastAsia="el-GR"/>
        </w:rPr>
        <w:lastRenderedPageBreak/>
        <w:t xml:space="preserve">χώρας και τα προγράμματα που διαμορφώθηκαν συνδέθηκαν με την έρευνα και υλοποιήθηκαν με τη συμμετοχή των εκπαιδευτικών </w:t>
      </w:r>
      <w:proofErr w:type="spellStart"/>
      <w:r w:rsidRPr="000638BC">
        <w:rPr>
          <w:rFonts w:eastAsia="Times New Roman" w:cs="Times New Roman"/>
          <w:sz w:val="40"/>
          <w:szCs w:val="40"/>
          <w:lang w:eastAsia="el-GR"/>
        </w:rPr>
        <w:t>ενα</w:t>
      </w:r>
      <w:proofErr w:type="spellEnd"/>
      <w:r w:rsidRPr="000638BC">
        <w:rPr>
          <w:rFonts w:eastAsia="Times New Roman" w:cs="Times New Roman"/>
          <w:sz w:val="40"/>
          <w:szCs w:val="40"/>
          <w:lang w:eastAsia="el-GR"/>
        </w:rPr>
        <w:t xml:space="preserve"> από αυτά τα προγράμματα ήταν η ενέργεια της ενισχυτικής διδασκαλίας και ειδικότερα τα Πιλοτικά προγράμματα ενισχυτικής διδασκαλίας, τα οποία αναπτύχθηκαν τα σχολικά έτη 1997 - 2000 σε περιοχές με αυξημένες εκπαιδευτικές ανάγκες, σε νηπιαγωγεία, δημοτικά και ημερήσια και νυχτερινά γυμνάσια </w:t>
      </w:r>
      <w:proofErr w:type="spellStart"/>
      <w:r w:rsidRPr="000638BC">
        <w:rPr>
          <w:rFonts w:eastAsia="Times New Roman" w:cs="Times New Roman"/>
          <w:sz w:val="40"/>
          <w:szCs w:val="40"/>
          <w:lang w:eastAsia="el-GR"/>
        </w:rPr>
        <w:t>οπως</w:t>
      </w:r>
      <w:proofErr w:type="spellEnd"/>
      <w:r w:rsidRPr="000638BC">
        <w:rPr>
          <w:rFonts w:eastAsia="Times New Roman" w:cs="Times New Roman"/>
          <w:sz w:val="40"/>
          <w:szCs w:val="40"/>
          <w:lang w:eastAsia="el-GR"/>
        </w:rPr>
        <w:t xml:space="preserve"> προέκυψε τόσο από την εσωτερική αξιολόγηση του προγράμματος όσο και από εξωτερικούς αξιολογητές που ορίστηκαν από το υπουργείο Παιδείας τα αποτελέσματα ήταν ιδιαιτέρως ενθαρρυντικά αντί όμως να διευρυνθεί η εφαρμογή τους σε περισσότερα από τα 127 πιλοτικά σχολεία και οι άξονες του προγράμματος να αποτελέσουν μέρος μιας πολιτικής θεσμοθέτησης εκπαιδευτικών προτεραιοτήτων, τα καινοτόμα στοιχεία τους δεν υιοθετήθηκαν από την πολιτεία, παρά τις θετικές αξιολογήσεις που είχαν γίνει σύμφωνα με τους όρους της κοινοτικής χρηματοδότησης αυτό το οποίο παρατηρείται σήμερα είναι η αντιμετώπιση των εκπαιδευτικών ανισοτήτων να ταυτίζεται με την ένταξη συγκεκριμένων κοινωνικών ομάδων και μόνο.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Στο πλαίσιο της διαμόρφωσης πολιτικών εκπαιδευτικής προτεραιότητας θεωρώ ότι συγκεκριμένες ενέργειες που υλοποιήθηκαν σε πιλοτική φάση στο πλαίσιο της Ενέργειας Ενισχυτική Διδασκαλία θα μπορούσαν να συμβάλουν αποτελεσματικά στη βελτίωση της σχολικής πραγματικότητας. Αυτές οι ενέργειες στηρίζονται σε μια βασική επιλογή, την υιοθέτηση θετικών διακρίσεων σε συγκεκριμένες περιοχές που θα θεσμοθετηθούν ως περιοχές εκπαιδευτικής προτεραιότητας. Το συγκεκριμένο </w:t>
      </w:r>
      <w:r w:rsidRPr="000638BC">
        <w:rPr>
          <w:rFonts w:ascii="Times New Roman" w:eastAsia="Times New Roman" w:hAnsi="Times New Roman" w:cs="Times New Roman"/>
          <w:sz w:val="24"/>
          <w:szCs w:val="24"/>
          <w:lang w:eastAsia="el-GR"/>
        </w:rPr>
        <w:lastRenderedPageBreak/>
        <w:t xml:space="preserve">θέμα έχει ήδη μελετηθεί στο πλαίσιο αυτής της ενέργειας από το Κέντρο Κοινωνικών Ερευνών.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Συγκεκριμένα, τα μέτρα που θα μπορούσαν να υιοθετηθούν, στο πλαίσιο των θετικών διακρίσεων, είναι: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α) Η δημιουργία ενός σπουδαστηρίου σε κάθε δημοτικό, γυμνάσιο και λύκειο, τη λειτουργία του οποίου θα αναλάβει ένα άτομο ειδικών προσόντων και αποκλειστικής απασχόλησης και θα είναι ανοικτό και εκτός του σχολικού ωραρίου. Με αυτόν τον τρόπο θα εμπλουτιστεί με πολυδιάστατο τρόπο η υλικοτεχνική υποδομή κάθε σχολικής μονάδας και η σχολική ζωή θα αποκτήσει νέο ενδιαφέρον.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Το σπουδαστήριο αποτελεί απαραίτητη προϋπόθεση για την αναδιοργάνωση της διδακτικής-μαθησιακής διαδικασίας, καθώς διευρύνει τις δυνατότητες που προσφέρει το διδακτικό εγχειρίδιο, το οποίο, ακόμα και όταν είναι καλό, δεν παύει να είναι περιοριστικό. Είναι ένας φιλικός χώρος για την οικειοποίηση της κουλτούρας του γραπτού λόγου και της ψηφιακής τεχνολογίας, μπορεί να έχει δανειστική βιβλιοθήκη, σύγχρονο ηλεκτρονικό εξοπλισμό (υπολογιστή, εκτυπωτή, σαρωτή, σύνδεση με το </w:t>
      </w:r>
      <w:proofErr w:type="spellStart"/>
      <w:r w:rsidRPr="000638BC">
        <w:rPr>
          <w:rFonts w:ascii="Times New Roman" w:eastAsia="Times New Roman" w:hAnsi="Times New Roman" w:cs="Times New Roman"/>
          <w:sz w:val="24"/>
          <w:szCs w:val="24"/>
          <w:lang w:eastAsia="el-GR"/>
        </w:rPr>
        <w:t>Ιnternet</w:t>
      </w:r>
      <w:proofErr w:type="spellEnd"/>
      <w:r w:rsidRPr="000638BC">
        <w:rPr>
          <w:rFonts w:ascii="Times New Roman" w:eastAsia="Times New Roman" w:hAnsi="Times New Roman" w:cs="Times New Roman"/>
          <w:sz w:val="24"/>
          <w:szCs w:val="24"/>
          <w:lang w:eastAsia="el-GR"/>
        </w:rPr>
        <w:t xml:space="preserve"> και μέσω αυτού πρόσβαση και σε άλλες βιβλιοθήκες, τηλεόραση και μηχανή βιντεοσκόπησης), τραπέζια εργασίας, αλλά και αναπαυτικό καθιστικό που θα δημιουργεί τις προϋποθέσεις για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απολαυστικό διάβασμα και δημιουργικές συζητήσεις. Επίσης, και η υλικοτεχνική υποδομή των νηπιαγωγείων μπορεί να αναβαθμιστεί, εξασφαλίζοντας τη λειτουργία δανειστικής βιβλιοθήκης σε κάθε τμήμα, με σύγχρονο τεχνολογικό εξοπλισμό.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β) Η ανάπτυξη σχεδίου δράσης σε κάθε σχολείο, με τη συμμετοχή όλων των εκπαιδευτικών και με έναν παιδαγωγικό σχεδιασμό που θα έχει κοινό συνεκτικό ιστό. Στόχος η σύνδεση των σχολικών γνώσεων με τα ενδιαφέροντα των μαθητών και το άνοιγμα του σχολείου στο ευρύτερο κοινωνικό περιβάλλον. Το σχέδιο δράσης λειτουργεί υποστηρικτικά και ενισχυτικά στις σχέσεις των εκπαιδευτικών με τα παιδιά και συμβάλλει στη διαμόρφωση ενός σχολείου που επιδιώκει να είναι χώρος έρευνας και δημιουργικότητας, κριτικής σκέψης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και χειραφέτησης, ένας χώρος που θα συμβάλλει στη διαμόρφωση της ατομικότητας και ταυτοχρόνως στην ενδυνάμωση της συλλογικότητας.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γ) Η δημιουργία ενός εκπαιδευτικού και υποστηρικτικού υλικού που θα συνδέεται με τα ερευνητικά δεδομένα, όπως το εκπαιδευτικό υλικό που παρήχθη και δοκιμάστηκε στο πλαίσιο των Πιλοτικών Προγραμμάτων Ενισχυτικής Διδασκαλίας, αλλά και άλλων προγραμμάτων.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δ) Η επιμόρφωση των εκπαιδευτικών στην έρευνα-δράση για τον σχεδιασμό και την αξιολόγηση με συμμετοχικές διαδικασίες σε επίπεδο σχολείου και σε συνεργασία με ειδικούς διαφόρων τομέων.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Η γενίκευση της εφαρμογής αυτών των ενεργειών θα μπορούσε να ξεκινήσει από το ολοήμερο σχολείο, έναν θεσμό που δημιουργήθηκε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στην προοπτική μιας πιο δίκαιης κοινωνίας και ενός περισσότερο δημοκρατικού εκπαιδευτικού συστήματος, αλλά που μέχρι στιγμής δεν έχει ανταποκριθεί </w:t>
      </w:r>
      <w:proofErr w:type="spellStart"/>
      <w:r w:rsidRPr="000638BC">
        <w:rPr>
          <w:rFonts w:ascii="Times New Roman" w:eastAsia="Times New Roman" w:hAnsi="Times New Roman" w:cs="Times New Roman"/>
          <w:sz w:val="24"/>
          <w:szCs w:val="24"/>
          <w:lang w:eastAsia="el-GR"/>
        </w:rPr>
        <w:t>σ΄</w:t>
      </w:r>
      <w:proofErr w:type="spellEnd"/>
      <w:r w:rsidRPr="000638BC">
        <w:rPr>
          <w:rFonts w:ascii="Times New Roman" w:eastAsia="Times New Roman" w:hAnsi="Times New Roman" w:cs="Times New Roman"/>
          <w:sz w:val="24"/>
          <w:szCs w:val="24"/>
          <w:lang w:eastAsia="el-GR"/>
        </w:rPr>
        <w:t xml:space="preserve"> αυτές τις προσδοκίες. Η αιτία </w:t>
      </w:r>
      <w:proofErr w:type="spellStart"/>
      <w:r w:rsidRPr="000638BC">
        <w:rPr>
          <w:rFonts w:ascii="Times New Roman" w:eastAsia="Times New Roman" w:hAnsi="Times New Roman" w:cs="Times New Roman"/>
          <w:sz w:val="24"/>
          <w:szCs w:val="24"/>
          <w:lang w:eastAsia="el-GR"/>
        </w:rPr>
        <w:t>γι΄</w:t>
      </w:r>
      <w:proofErr w:type="spellEnd"/>
      <w:r w:rsidRPr="000638BC">
        <w:rPr>
          <w:rFonts w:ascii="Times New Roman" w:eastAsia="Times New Roman" w:hAnsi="Times New Roman" w:cs="Times New Roman"/>
          <w:sz w:val="24"/>
          <w:szCs w:val="24"/>
          <w:lang w:eastAsia="el-GR"/>
        </w:rPr>
        <w:t xml:space="preserve"> αυτή την αναποτελεσματικότητα του θεσμού είναι ότι, πέρα από την επέκταση των ωρών λειτουργίας και τις διοικητικές ρυθμίσεις, δεν έχει υπάρξει σαφής πολιτική ως προς το περιεχόμενό του. Οι εκπαιδευτικοί εναλλάσσονται από το πρωινό στο απογευματινό πρόγραμμα, χωρίς ουσιαστική επαφή και συνολικό εκπαιδευτικό σχεδιασμό. Δυστυχώς τα προβλήματα έχουν γίνει εκρηκτικά στο νηπιαγωγείο, το οποίο αναγνωρίζεται ότι «...έχει τα μεγαλύτερα οφέλη (από κάθε άλλη μορφή εκπαίδευσης) όσον αφορά τις επιδόσεις και την κοινωνική προσαρμογή των παιδιών», σύμφωνα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lastRenderedPageBreak/>
        <w:t xml:space="preserve">με ανακοίνωση της ΕΕ. Πιο συγκεκριμένα, έχει διαπιστωθεί ότι οι διαθέσιμοι χώροι είναι εντελώς ακατάλληλοι για να φοιτήσουν όλα τα παιδιά που έχουν δικαίωμα και η </w:t>
      </w:r>
      <w:proofErr w:type="spellStart"/>
      <w:r w:rsidRPr="000638BC">
        <w:rPr>
          <w:rFonts w:ascii="Times New Roman" w:eastAsia="Times New Roman" w:hAnsi="Times New Roman" w:cs="Times New Roman"/>
          <w:sz w:val="24"/>
          <w:szCs w:val="24"/>
          <w:lang w:eastAsia="el-GR"/>
        </w:rPr>
        <w:t>οργανικότητα</w:t>
      </w:r>
      <w:proofErr w:type="spellEnd"/>
      <w:r w:rsidRPr="000638BC">
        <w:rPr>
          <w:rFonts w:ascii="Times New Roman" w:eastAsia="Times New Roman" w:hAnsi="Times New Roman" w:cs="Times New Roman"/>
          <w:sz w:val="24"/>
          <w:szCs w:val="24"/>
          <w:lang w:eastAsia="el-GR"/>
        </w:rPr>
        <w:t xml:space="preserve"> των θέσεων, σε πολλές περιπτώσεις, απέχει πολύ από τα τμήματα που λειτουργούν. </w:t>
      </w:r>
    </w:p>
    <w:p w:rsidR="000638BC" w:rsidRPr="000638BC" w:rsidRDefault="000638BC" w:rsidP="000638BC">
      <w:pPr>
        <w:spacing w:after="0" w:line="240" w:lineRule="auto"/>
        <w:rPr>
          <w:rFonts w:ascii="Times New Roman" w:eastAsia="Times New Roman" w:hAnsi="Times New Roman" w:cs="Times New Roman"/>
          <w:sz w:val="24"/>
          <w:szCs w:val="24"/>
          <w:lang w:eastAsia="el-GR"/>
        </w:rPr>
      </w:pPr>
      <w:r w:rsidRPr="000638BC">
        <w:rPr>
          <w:rFonts w:ascii="Times New Roman" w:eastAsia="Times New Roman" w:hAnsi="Times New Roman" w:cs="Times New Roman"/>
          <w:sz w:val="24"/>
          <w:szCs w:val="24"/>
          <w:lang w:eastAsia="el-GR"/>
        </w:rPr>
        <w:t xml:space="preserve">Είναι σίγουρο ότι μια εκπαιδευτική πολιτική θετικών διακρίσεων δεν θα ξεκινούσε από μηδενική βάση, δεδομένου ότι και η τεχνογνωσία υπάρχει και η αξιολόγηση έχει γίνει σε ικανοποιητικό βαθμό. Αλλά χωρίς την αύξηση των εθνικών πόρων για την Παιδεία και χωρίς τη σταθερή βούληση για ένα πιο δημοκρατικό σχολείο, ύστερα από κάθε επιτυχημένη πειραματική εκπαιδευτική προσπάθεια που θα στηρίζεται σε πρόσκαιρους κοινοτικούς πόρους θα προκύπτουν μόνο α-συνέχειες.. * </w:t>
      </w:r>
    </w:p>
    <w:p w:rsidR="00B204A5" w:rsidRDefault="00B204A5"/>
    <w:sectPr w:rsidR="00B204A5" w:rsidSect="00B204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8BC"/>
    <w:rsid w:val="000638BC"/>
    <w:rsid w:val="00B204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38B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3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806290">
      <w:bodyDiv w:val="1"/>
      <w:marLeft w:val="0"/>
      <w:marRight w:val="0"/>
      <w:marTop w:val="0"/>
      <w:marBottom w:val="0"/>
      <w:divBdr>
        <w:top w:val="none" w:sz="0" w:space="0" w:color="auto"/>
        <w:left w:val="none" w:sz="0" w:space="0" w:color="auto"/>
        <w:bottom w:val="none" w:sz="0" w:space="0" w:color="auto"/>
        <w:right w:val="none" w:sz="0" w:space="0" w:color="auto"/>
      </w:divBdr>
      <w:divsChild>
        <w:div w:id="969242275">
          <w:marLeft w:val="0"/>
          <w:marRight w:val="0"/>
          <w:marTop w:val="0"/>
          <w:marBottom w:val="0"/>
          <w:divBdr>
            <w:top w:val="none" w:sz="0" w:space="0" w:color="auto"/>
            <w:left w:val="none" w:sz="0" w:space="0" w:color="auto"/>
            <w:bottom w:val="none" w:sz="0" w:space="0" w:color="auto"/>
            <w:right w:val="none" w:sz="0" w:space="0" w:color="auto"/>
          </w:divBdr>
        </w:div>
        <w:div w:id="1864858354">
          <w:marLeft w:val="0"/>
          <w:marRight w:val="0"/>
          <w:marTop w:val="0"/>
          <w:marBottom w:val="0"/>
          <w:divBdr>
            <w:top w:val="none" w:sz="0" w:space="0" w:color="auto"/>
            <w:left w:val="none" w:sz="0" w:space="0" w:color="auto"/>
            <w:bottom w:val="none" w:sz="0" w:space="0" w:color="auto"/>
            <w:right w:val="none" w:sz="0" w:space="0" w:color="auto"/>
          </w:divBdr>
        </w:div>
        <w:div w:id="967473473">
          <w:marLeft w:val="0"/>
          <w:marRight w:val="0"/>
          <w:marTop w:val="0"/>
          <w:marBottom w:val="0"/>
          <w:divBdr>
            <w:top w:val="none" w:sz="0" w:space="0" w:color="auto"/>
            <w:left w:val="none" w:sz="0" w:space="0" w:color="auto"/>
            <w:bottom w:val="none" w:sz="0" w:space="0" w:color="auto"/>
            <w:right w:val="none" w:sz="0" w:space="0" w:color="auto"/>
          </w:divBdr>
        </w:div>
        <w:div w:id="1745058829">
          <w:marLeft w:val="0"/>
          <w:marRight w:val="0"/>
          <w:marTop w:val="0"/>
          <w:marBottom w:val="0"/>
          <w:divBdr>
            <w:top w:val="none" w:sz="0" w:space="0" w:color="auto"/>
            <w:left w:val="none" w:sz="0" w:space="0" w:color="auto"/>
            <w:bottom w:val="none" w:sz="0" w:space="0" w:color="auto"/>
            <w:right w:val="none" w:sz="0" w:space="0" w:color="auto"/>
          </w:divBdr>
        </w:div>
        <w:div w:id="557515364">
          <w:marLeft w:val="0"/>
          <w:marRight w:val="0"/>
          <w:marTop w:val="0"/>
          <w:marBottom w:val="0"/>
          <w:divBdr>
            <w:top w:val="none" w:sz="0" w:space="0" w:color="auto"/>
            <w:left w:val="none" w:sz="0" w:space="0" w:color="auto"/>
            <w:bottom w:val="none" w:sz="0" w:space="0" w:color="auto"/>
            <w:right w:val="none" w:sz="0" w:space="0" w:color="auto"/>
          </w:divBdr>
        </w:div>
        <w:div w:id="1019550597">
          <w:marLeft w:val="0"/>
          <w:marRight w:val="0"/>
          <w:marTop w:val="0"/>
          <w:marBottom w:val="0"/>
          <w:divBdr>
            <w:top w:val="none" w:sz="0" w:space="0" w:color="auto"/>
            <w:left w:val="none" w:sz="0" w:space="0" w:color="auto"/>
            <w:bottom w:val="none" w:sz="0" w:space="0" w:color="auto"/>
            <w:right w:val="none" w:sz="0" w:space="0" w:color="auto"/>
          </w:divBdr>
        </w:div>
        <w:div w:id="1469008116">
          <w:marLeft w:val="0"/>
          <w:marRight w:val="0"/>
          <w:marTop w:val="0"/>
          <w:marBottom w:val="0"/>
          <w:divBdr>
            <w:top w:val="none" w:sz="0" w:space="0" w:color="auto"/>
            <w:left w:val="none" w:sz="0" w:space="0" w:color="auto"/>
            <w:bottom w:val="none" w:sz="0" w:space="0" w:color="auto"/>
            <w:right w:val="none" w:sz="0" w:space="0" w:color="auto"/>
          </w:divBdr>
        </w:div>
        <w:div w:id="1231159547">
          <w:marLeft w:val="0"/>
          <w:marRight w:val="0"/>
          <w:marTop w:val="0"/>
          <w:marBottom w:val="0"/>
          <w:divBdr>
            <w:top w:val="none" w:sz="0" w:space="0" w:color="auto"/>
            <w:left w:val="none" w:sz="0" w:space="0" w:color="auto"/>
            <w:bottom w:val="none" w:sz="0" w:space="0" w:color="auto"/>
            <w:right w:val="none" w:sz="0" w:space="0" w:color="auto"/>
          </w:divBdr>
        </w:div>
        <w:div w:id="650788333">
          <w:marLeft w:val="0"/>
          <w:marRight w:val="0"/>
          <w:marTop w:val="0"/>
          <w:marBottom w:val="0"/>
          <w:divBdr>
            <w:top w:val="none" w:sz="0" w:space="0" w:color="auto"/>
            <w:left w:val="none" w:sz="0" w:space="0" w:color="auto"/>
            <w:bottom w:val="none" w:sz="0" w:space="0" w:color="auto"/>
            <w:right w:val="none" w:sz="0" w:space="0" w:color="auto"/>
          </w:divBdr>
        </w:div>
        <w:div w:id="1346135820">
          <w:marLeft w:val="0"/>
          <w:marRight w:val="0"/>
          <w:marTop w:val="0"/>
          <w:marBottom w:val="0"/>
          <w:divBdr>
            <w:top w:val="none" w:sz="0" w:space="0" w:color="auto"/>
            <w:left w:val="none" w:sz="0" w:space="0" w:color="auto"/>
            <w:bottom w:val="none" w:sz="0" w:space="0" w:color="auto"/>
            <w:right w:val="none" w:sz="0" w:space="0" w:color="auto"/>
          </w:divBdr>
        </w:div>
        <w:div w:id="1425571046">
          <w:marLeft w:val="0"/>
          <w:marRight w:val="0"/>
          <w:marTop w:val="0"/>
          <w:marBottom w:val="0"/>
          <w:divBdr>
            <w:top w:val="none" w:sz="0" w:space="0" w:color="auto"/>
            <w:left w:val="none" w:sz="0" w:space="0" w:color="auto"/>
            <w:bottom w:val="none" w:sz="0" w:space="0" w:color="auto"/>
            <w:right w:val="none" w:sz="0" w:space="0" w:color="auto"/>
          </w:divBdr>
        </w:div>
        <w:div w:id="1000891862">
          <w:marLeft w:val="0"/>
          <w:marRight w:val="0"/>
          <w:marTop w:val="0"/>
          <w:marBottom w:val="0"/>
          <w:divBdr>
            <w:top w:val="none" w:sz="0" w:space="0" w:color="auto"/>
            <w:left w:val="none" w:sz="0" w:space="0" w:color="auto"/>
            <w:bottom w:val="none" w:sz="0" w:space="0" w:color="auto"/>
            <w:right w:val="none" w:sz="0" w:space="0" w:color="auto"/>
          </w:divBdr>
        </w:div>
        <w:div w:id="1594436565">
          <w:marLeft w:val="0"/>
          <w:marRight w:val="0"/>
          <w:marTop w:val="0"/>
          <w:marBottom w:val="0"/>
          <w:divBdr>
            <w:top w:val="none" w:sz="0" w:space="0" w:color="auto"/>
            <w:left w:val="none" w:sz="0" w:space="0" w:color="auto"/>
            <w:bottom w:val="none" w:sz="0" w:space="0" w:color="auto"/>
            <w:right w:val="none" w:sz="0" w:space="0" w:color="auto"/>
          </w:divBdr>
        </w:div>
        <w:div w:id="794519694">
          <w:marLeft w:val="0"/>
          <w:marRight w:val="0"/>
          <w:marTop w:val="0"/>
          <w:marBottom w:val="0"/>
          <w:divBdr>
            <w:top w:val="none" w:sz="0" w:space="0" w:color="auto"/>
            <w:left w:val="none" w:sz="0" w:space="0" w:color="auto"/>
            <w:bottom w:val="none" w:sz="0" w:space="0" w:color="auto"/>
            <w:right w:val="none" w:sz="0" w:space="0" w:color="auto"/>
          </w:divBdr>
        </w:div>
        <w:div w:id="991298568">
          <w:marLeft w:val="0"/>
          <w:marRight w:val="0"/>
          <w:marTop w:val="0"/>
          <w:marBottom w:val="0"/>
          <w:divBdr>
            <w:top w:val="none" w:sz="0" w:space="0" w:color="auto"/>
            <w:left w:val="none" w:sz="0" w:space="0" w:color="auto"/>
            <w:bottom w:val="none" w:sz="0" w:space="0" w:color="auto"/>
            <w:right w:val="none" w:sz="0" w:space="0" w:color="auto"/>
          </w:divBdr>
        </w:div>
        <w:div w:id="947279747">
          <w:marLeft w:val="0"/>
          <w:marRight w:val="0"/>
          <w:marTop w:val="0"/>
          <w:marBottom w:val="0"/>
          <w:divBdr>
            <w:top w:val="none" w:sz="0" w:space="0" w:color="auto"/>
            <w:left w:val="none" w:sz="0" w:space="0" w:color="auto"/>
            <w:bottom w:val="none" w:sz="0" w:space="0" w:color="auto"/>
            <w:right w:val="none" w:sz="0" w:space="0" w:color="auto"/>
          </w:divBdr>
        </w:div>
        <w:div w:id="1612736086">
          <w:marLeft w:val="0"/>
          <w:marRight w:val="0"/>
          <w:marTop w:val="0"/>
          <w:marBottom w:val="0"/>
          <w:divBdr>
            <w:top w:val="none" w:sz="0" w:space="0" w:color="auto"/>
            <w:left w:val="none" w:sz="0" w:space="0" w:color="auto"/>
            <w:bottom w:val="none" w:sz="0" w:space="0" w:color="auto"/>
            <w:right w:val="none" w:sz="0" w:space="0" w:color="auto"/>
          </w:divBdr>
        </w:div>
        <w:div w:id="335965795">
          <w:marLeft w:val="0"/>
          <w:marRight w:val="0"/>
          <w:marTop w:val="0"/>
          <w:marBottom w:val="0"/>
          <w:divBdr>
            <w:top w:val="none" w:sz="0" w:space="0" w:color="auto"/>
            <w:left w:val="none" w:sz="0" w:space="0" w:color="auto"/>
            <w:bottom w:val="none" w:sz="0" w:space="0" w:color="auto"/>
            <w:right w:val="none" w:sz="0" w:space="0" w:color="auto"/>
          </w:divBdr>
        </w:div>
        <w:div w:id="2141067342">
          <w:marLeft w:val="0"/>
          <w:marRight w:val="0"/>
          <w:marTop w:val="0"/>
          <w:marBottom w:val="0"/>
          <w:divBdr>
            <w:top w:val="none" w:sz="0" w:space="0" w:color="auto"/>
            <w:left w:val="none" w:sz="0" w:space="0" w:color="auto"/>
            <w:bottom w:val="none" w:sz="0" w:space="0" w:color="auto"/>
            <w:right w:val="none" w:sz="0" w:space="0" w:color="auto"/>
          </w:divBdr>
        </w:div>
        <w:div w:id="1979871331">
          <w:marLeft w:val="0"/>
          <w:marRight w:val="0"/>
          <w:marTop w:val="0"/>
          <w:marBottom w:val="0"/>
          <w:divBdr>
            <w:top w:val="none" w:sz="0" w:space="0" w:color="auto"/>
            <w:left w:val="none" w:sz="0" w:space="0" w:color="auto"/>
            <w:bottom w:val="none" w:sz="0" w:space="0" w:color="auto"/>
            <w:right w:val="none" w:sz="0" w:space="0" w:color="auto"/>
          </w:divBdr>
        </w:div>
        <w:div w:id="701783896">
          <w:marLeft w:val="0"/>
          <w:marRight w:val="0"/>
          <w:marTop w:val="0"/>
          <w:marBottom w:val="0"/>
          <w:divBdr>
            <w:top w:val="none" w:sz="0" w:space="0" w:color="auto"/>
            <w:left w:val="none" w:sz="0" w:space="0" w:color="auto"/>
            <w:bottom w:val="none" w:sz="0" w:space="0" w:color="auto"/>
            <w:right w:val="none" w:sz="0" w:space="0" w:color="auto"/>
          </w:divBdr>
        </w:div>
        <w:div w:id="1363936849">
          <w:marLeft w:val="0"/>
          <w:marRight w:val="0"/>
          <w:marTop w:val="0"/>
          <w:marBottom w:val="0"/>
          <w:divBdr>
            <w:top w:val="none" w:sz="0" w:space="0" w:color="auto"/>
            <w:left w:val="none" w:sz="0" w:space="0" w:color="auto"/>
            <w:bottom w:val="none" w:sz="0" w:space="0" w:color="auto"/>
            <w:right w:val="none" w:sz="0" w:space="0" w:color="auto"/>
          </w:divBdr>
        </w:div>
        <w:div w:id="177389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1248</Words>
  <Characters>6740</Characters>
  <Application>Microsoft Office Word</Application>
  <DocSecurity>0</DocSecurity>
  <Lines>56</Lines>
  <Paragraphs>15</Paragraphs>
  <ScaleCrop>false</ScaleCrop>
  <Company>TOSHIBA</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2010-11-18T12:44:00Z</dcterms:created>
  <dcterms:modified xsi:type="dcterms:W3CDTF">2010-11-18T12:47:00Z</dcterms:modified>
</cp:coreProperties>
</file>