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7A" w:rsidRPr="000B5357" w:rsidRDefault="004C027A" w:rsidP="004C027A">
      <w:pPr>
        <w:pStyle w:val="a4"/>
        <w:rPr>
          <w:lang w:val="el-GR"/>
        </w:rPr>
      </w:pPr>
      <w:r w:rsidRPr="000B5357">
        <w:rPr>
          <w:lang w:val="el-GR"/>
        </w:rPr>
        <w:t>Πανεπιστήμιο Δυτικής Μακεδονίας, Τμήμα Λογιστικής και Χρηματοοικονομικής</w:t>
      </w:r>
    </w:p>
    <w:p w:rsidR="004C027A" w:rsidRPr="000B5357" w:rsidRDefault="004C027A" w:rsidP="004C027A">
      <w:pPr>
        <w:pStyle w:val="a4"/>
        <w:rPr>
          <w:b/>
          <w:lang w:val="el-GR"/>
        </w:rPr>
      </w:pPr>
      <w:r w:rsidRPr="000B5357">
        <w:rPr>
          <w:b/>
          <w:lang w:val="el-GR"/>
        </w:rPr>
        <w:t>ΜΠΣ «Τραπεζική-</w:t>
      </w:r>
      <w:proofErr w:type="spellStart"/>
      <w:r w:rsidRPr="000B5357">
        <w:rPr>
          <w:b/>
          <w:lang w:val="el-GR"/>
        </w:rPr>
        <w:t>Ασφαλιστικ</w:t>
      </w:r>
      <w:proofErr w:type="spellEnd"/>
      <w:r w:rsidRPr="000B5357">
        <w:rPr>
          <w:b/>
          <w:lang w:val="el-GR"/>
        </w:rPr>
        <w:t>ή και Χρηματοοικονομική»</w:t>
      </w:r>
    </w:p>
    <w:p w:rsidR="004C027A" w:rsidRPr="000B5357" w:rsidRDefault="004C027A" w:rsidP="004C027A">
      <w:pPr>
        <w:pStyle w:val="a4"/>
        <w:rPr>
          <w:rFonts w:cs="Calibri"/>
          <w:b/>
          <w:lang w:val="el-GR"/>
        </w:rPr>
      </w:pPr>
      <w:r w:rsidRPr="000B5357">
        <w:rPr>
          <w:b/>
          <w:lang w:val="el-GR"/>
        </w:rPr>
        <w:t>Μάθημα: «</w:t>
      </w:r>
      <w:r w:rsidRPr="000B5357">
        <w:rPr>
          <w:rFonts w:cs="Calibri"/>
          <w:b/>
          <w:lang w:val="el-GR"/>
        </w:rPr>
        <w:t>Μη τραπεζική  χρηματοδότηση και νέα χρηματοδοτικά εργαλεία»</w:t>
      </w:r>
    </w:p>
    <w:p w:rsidR="004C027A" w:rsidRPr="000B5357" w:rsidRDefault="004C027A" w:rsidP="004C027A">
      <w:pPr>
        <w:pStyle w:val="a4"/>
        <w:rPr>
          <w:rFonts w:cs="Calibri"/>
          <w:lang w:val="el-GR"/>
        </w:rPr>
      </w:pPr>
      <w:r w:rsidRPr="000B5357">
        <w:rPr>
          <w:rFonts w:cs="Calibri"/>
          <w:lang w:val="el-GR"/>
        </w:rPr>
        <w:t xml:space="preserve">Διδάσκων: </w:t>
      </w:r>
      <w:proofErr w:type="spellStart"/>
      <w:r w:rsidRPr="000B5357">
        <w:rPr>
          <w:rFonts w:cs="Calibri"/>
          <w:lang w:val="el-GR"/>
        </w:rPr>
        <w:t>Καραφόλας</w:t>
      </w:r>
      <w:proofErr w:type="spellEnd"/>
      <w:r w:rsidRPr="000B5357">
        <w:rPr>
          <w:rFonts w:cs="Calibri"/>
          <w:lang w:val="el-GR"/>
        </w:rPr>
        <w:t xml:space="preserve"> Συμεών-</w:t>
      </w:r>
      <w:proofErr w:type="spellStart"/>
      <w:r w:rsidRPr="000B5357">
        <w:rPr>
          <w:rFonts w:cs="Calibri"/>
          <w:lang w:val="el-GR"/>
        </w:rPr>
        <w:t>Πιτόσκα</w:t>
      </w:r>
      <w:proofErr w:type="spellEnd"/>
      <w:r w:rsidRPr="000B5357">
        <w:rPr>
          <w:rFonts w:cs="Calibri"/>
          <w:lang w:val="el-GR"/>
        </w:rPr>
        <w:t xml:space="preserve"> Ηλέκτρα</w:t>
      </w:r>
    </w:p>
    <w:p w:rsidR="004C027A" w:rsidRPr="004C027A" w:rsidRDefault="004C027A" w:rsidP="004C027A">
      <w:pPr>
        <w:pStyle w:val="a4"/>
        <w:rPr>
          <w:rFonts w:cs="Calibri"/>
          <w:b/>
          <w:lang w:val="en-US"/>
        </w:rPr>
      </w:pPr>
      <w:r w:rsidRPr="000B5357">
        <w:rPr>
          <w:rFonts w:cs="Calibri"/>
          <w:b/>
          <w:lang w:val="el-GR"/>
        </w:rPr>
        <w:t>Εξετάσεις Ιουνίου 202</w:t>
      </w:r>
      <w:r>
        <w:rPr>
          <w:rFonts w:cs="Calibri"/>
          <w:b/>
          <w:lang w:val="en-US"/>
        </w:rPr>
        <w:t>4</w:t>
      </w:r>
    </w:p>
    <w:p w:rsidR="004C027A" w:rsidRPr="000B5357" w:rsidRDefault="004C027A" w:rsidP="004C027A">
      <w:pPr>
        <w:pStyle w:val="a4"/>
        <w:tabs>
          <w:tab w:val="left" w:pos="7225"/>
        </w:tabs>
        <w:rPr>
          <w:rFonts w:cs="Calibri"/>
          <w:lang w:val="el-GR"/>
        </w:rPr>
      </w:pPr>
      <w:r w:rsidRPr="000B5357">
        <w:rPr>
          <w:rFonts w:cs="Calibri"/>
          <w:lang w:val="en-US"/>
        </w:rPr>
        <w:t xml:space="preserve">Email </w:t>
      </w:r>
      <w:r w:rsidRPr="000B5357">
        <w:rPr>
          <w:rFonts w:cs="Calibri"/>
          <w:lang w:val="el-GR"/>
        </w:rPr>
        <w:t xml:space="preserve">αποστολής:    </w:t>
      </w:r>
      <w:r w:rsidRPr="000B5357">
        <w:rPr>
          <w:rFonts w:cs="Calibri"/>
          <w:lang w:val="en-US"/>
        </w:rPr>
        <w:t xml:space="preserve"> </w:t>
      </w:r>
      <w:hyperlink r:id="rId5" w:history="1">
        <w:r w:rsidRPr="000B5357">
          <w:rPr>
            <w:rStyle w:val="-"/>
            <w:rFonts w:cs="Calibri"/>
            <w:lang w:val="en-US"/>
          </w:rPr>
          <w:t>skarafolas@yahoo.gr</w:t>
        </w:r>
      </w:hyperlink>
      <w:r w:rsidRPr="000B5357">
        <w:rPr>
          <w:rFonts w:cs="Calibri"/>
          <w:lang w:val="en-US"/>
        </w:rPr>
        <w:t xml:space="preserve"> </w:t>
      </w:r>
      <w:r w:rsidRPr="000B5357">
        <w:rPr>
          <w:rFonts w:cs="Calibri"/>
          <w:lang w:val="el-GR"/>
        </w:rPr>
        <w:t xml:space="preserve"> </w:t>
      </w:r>
      <w:proofErr w:type="gramStart"/>
      <w:r>
        <w:rPr>
          <w:rFonts w:cs="Calibri"/>
          <w:lang w:val="el-GR"/>
        </w:rPr>
        <w:t>ή</w:t>
      </w:r>
      <w:r w:rsidRPr="000B5357">
        <w:rPr>
          <w:rFonts w:cs="Calibri"/>
          <w:lang w:val="en-US"/>
        </w:rPr>
        <w:t xml:space="preserve">  </w:t>
      </w:r>
      <w:proofErr w:type="gramEnd"/>
      <w:hyperlink r:id="rId6" w:history="1">
        <w:r w:rsidRPr="000B5357">
          <w:rPr>
            <w:rStyle w:val="-"/>
            <w:rFonts w:cs="Calibri"/>
            <w:lang w:val="en-US"/>
          </w:rPr>
          <w:t>skarafolas@uowm.gr</w:t>
        </w:r>
      </w:hyperlink>
      <w:r w:rsidRPr="000B5357">
        <w:rPr>
          <w:rFonts w:cs="Calibri"/>
          <w:lang w:val="en-US"/>
        </w:rPr>
        <w:tab/>
      </w:r>
    </w:p>
    <w:p w:rsidR="004C027A" w:rsidRDefault="004C027A" w:rsidP="004C027A">
      <w:pPr>
        <w:pStyle w:val="a4"/>
        <w:tabs>
          <w:tab w:val="left" w:pos="7225"/>
        </w:tabs>
        <w:rPr>
          <w:rFonts w:cs="Calibri"/>
          <w:b/>
          <w:sz w:val="24"/>
          <w:szCs w:val="24"/>
          <w:lang w:val="el-GR"/>
        </w:rPr>
      </w:pPr>
    </w:p>
    <w:p w:rsidR="004C027A" w:rsidRPr="000B5357" w:rsidRDefault="004C027A" w:rsidP="004C027A">
      <w:pPr>
        <w:pStyle w:val="a4"/>
        <w:tabs>
          <w:tab w:val="left" w:pos="7225"/>
        </w:tabs>
        <w:rPr>
          <w:rFonts w:cs="Calibri"/>
          <w:b/>
          <w:lang w:val="el-GR"/>
        </w:rPr>
      </w:pPr>
      <w:r w:rsidRPr="000B5357">
        <w:rPr>
          <w:rFonts w:cs="Calibri"/>
          <w:b/>
          <w:lang w:val="el-GR"/>
        </w:rPr>
        <w:t>ΘΕΜΑ</w:t>
      </w:r>
      <w:r w:rsidRPr="000B5357">
        <w:rPr>
          <w:rFonts w:cs="Calibri"/>
          <w:b/>
          <w:vertAlign w:val="superscript"/>
          <w:lang w:val="el-GR"/>
        </w:rPr>
        <w:t xml:space="preserve"> </w:t>
      </w:r>
      <w:r w:rsidRPr="000B5357">
        <w:rPr>
          <w:rFonts w:cs="Calibri"/>
          <w:b/>
          <w:lang w:val="el-GR"/>
        </w:rPr>
        <w:t xml:space="preserve"> :</w:t>
      </w:r>
      <w:r w:rsidRPr="000B5357">
        <w:rPr>
          <w:rFonts w:cs="Calibri"/>
          <w:b/>
          <w:lang w:val="en-US"/>
        </w:rPr>
        <w:t xml:space="preserve"> </w:t>
      </w:r>
      <w:r>
        <w:rPr>
          <w:rFonts w:cs="Calibri"/>
          <w:b/>
          <w:lang w:val="el-GR"/>
        </w:rPr>
        <w:t xml:space="preserve">Εξέλιξη Εγγυοδοσίας και </w:t>
      </w:r>
      <w:proofErr w:type="spellStart"/>
      <w:r>
        <w:rPr>
          <w:rFonts w:cs="Calibri"/>
          <w:b/>
          <w:lang w:val="el-GR"/>
        </w:rPr>
        <w:t>μικροδανείων</w:t>
      </w:r>
      <w:proofErr w:type="spellEnd"/>
      <w:r>
        <w:rPr>
          <w:rFonts w:cs="Calibri"/>
          <w:b/>
          <w:lang w:val="el-GR"/>
        </w:rPr>
        <w:t xml:space="preserve"> στην Ευρώπη. </w:t>
      </w:r>
    </w:p>
    <w:p w:rsidR="004C027A" w:rsidRDefault="004C027A" w:rsidP="004C027A">
      <w:pPr>
        <w:pStyle w:val="a4"/>
        <w:ind w:right="-625"/>
        <w:jc w:val="both"/>
        <w:rPr>
          <w:rFonts w:cs="Calibri"/>
          <w:lang w:val="el-GR"/>
        </w:rPr>
      </w:pPr>
      <w:proofErr w:type="spellStart"/>
      <w:r w:rsidRPr="000B5357">
        <w:rPr>
          <w:rFonts w:cs="Calibri"/>
          <w:lang w:val="el-GR"/>
        </w:rPr>
        <w:t>Εχετε</w:t>
      </w:r>
      <w:proofErr w:type="spellEnd"/>
      <w:r w:rsidRPr="000B5357">
        <w:rPr>
          <w:rFonts w:cs="Calibri"/>
          <w:lang w:val="el-GR"/>
        </w:rPr>
        <w:t xml:space="preserve"> έναν πίνακα και </w:t>
      </w:r>
      <w:r>
        <w:rPr>
          <w:rFonts w:cs="Calibri"/>
          <w:lang w:val="el-GR"/>
        </w:rPr>
        <w:t xml:space="preserve">το </w:t>
      </w:r>
      <w:r w:rsidRPr="000B5357">
        <w:rPr>
          <w:rFonts w:cs="Calibri"/>
          <w:lang w:val="el-GR"/>
        </w:rPr>
        <w:t>γράφημα με την εξέλιξη του</w:t>
      </w:r>
      <w:r w:rsidRPr="000B5357">
        <w:rPr>
          <w:rFonts w:cs="Calibri"/>
          <w:lang w:val="en-US"/>
        </w:rPr>
        <w:t xml:space="preserve"> </w:t>
      </w:r>
      <w:r w:rsidRPr="000B5357">
        <w:rPr>
          <w:rFonts w:cs="Calibri"/>
          <w:lang w:val="el-GR"/>
        </w:rPr>
        <w:t xml:space="preserve">υπολοίπου του ποσού των εγγυήσεων ανά έτος για το σύνολο των εταιριών εγγυοδοσίας </w:t>
      </w:r>
      <w:r w:rsidRPr="000B5357">
        <w:rPr>
          <w:rFonts w:cs="Calibri"/>
          <w:i/>
          <w:lang w:val="el-GR"/>
        </w:rPr>
        <w:t xml:space="preserve">της Ευρωπαϊκής </w:t>
      </w:r>
      <w:proofErr w:type="spellStart"/>
      <w:r w:rsidRPr="000B5357">
        <w:rPr>
          <w:rFonts w:cs="Calibri"/>
          <w:i/>
          <w:lang w:val="el-GR"/>
        </w:rPr>
        <w:t>Ενωσης</w:t>
      </w:r>
      <w:proofErr w:type="spellEnd"/>
      <w:r w:rsidRPr="000B5357">
        <w:rPr>
          <w:rFonts w:cs="Calibri"/>
          <w:i/>
          <w:lang w:val="el-GR"/>
        </w:rPr>
        <w:t xml:space="preserve"> των Εταιριών Εγγυοδοσίας </w:t>
      </w:r>
      <w:r w:rsidRPr="000B5357">
        <w:rPr>
          <w:rFonts w:cs="Calibri"/>
          <w:i/>
          <w:lang w:val="en-US"/>
        </w:rPr>
        <w:t>(AECM)</w:t>
      </w:r>
      <w:r w:rsidRPr="000B5357">
        <w:rPr>
          <w:rFonts w:cs="Calibri"/>
          <w:lang w:val="el-GR"/>
        </w:rPr>
        <w:t xml:space="preserve">. </w:t>
      </w:r>
      <w:proofErr w:type="spellStart"/>
      <w:r>
        <w:rPr>
          <w:rFonts w:cs="Calibri"/>
          <w:lang w:val="el-GR"/>
        </w:rPr>
        <w:t>Εχετε</w:t>
      </w:r>
      <w:proofErr w:type="spellEnd"/>
      <w:r>
        <w:rPr>
          <w:rFonts w:cs="Calibri"/>
          <w:lang w:val="el-GR"/>
        </w:rPr>
        <w:t xml:space="preserve"> επίσης την εξέλιξη των </w:t>
      </w:r>
      <w:proofErr w:type="spellStart"/>
      <w:r>
        <w:rPr>
          <w:rFonts w:cs="Calibri"/>
          <w:lang w:val="el-GR"/>
        </w:rPr>
        <w:t>μικροδανείων</w:t>
      </w:r>
      <w:proofErr w:type="spellEnd"/>
      <w:r>
        <w:rPr>
          <w:rFonts w:cs="Calibri"/>
          <w:lang w:val="el-GR"/>
        </w:rPr>
        <w:t xml:space="preserve"> με βάση τα στοιχεία του Ευρωπαϊκού Δικτύου </w:t>
      </w:r>
      <w:proofErr w:type="spellStart"/>
      <w:r>
        <w:rPr>
          <w:rFonts w:cs="Calibri"/>
          <w:lang w:val="el-GR"/>
        </w:rPr>
        <w:t>Μικροχρηματοδοτήσεων</w:t>
      </w:r>
      <w:proofErr w:type="spellEnd"/>
      <w:r>
        <w:rPr>
          <w:rFonts w:cs="Calibri"/>
          <w:lang w:val="el-GR"/>
        </w:rPr>
        <w:t xml:space="preserve"> </w:t>
      </w:r>
      <w:r>
        <w:rPr>
          <w:rFonts w:cs="Calibri"/>
          <w:lang w:val="en-US"/>
        </w:rPr>
        <w:t xml:space="preserve">(EMN). </w:t>
      </w:r>
      <w:proofErr w:type="spellStart"/>
      <w:r w:rsidRPr="000B5357">
        <w:rPr>
          <w:rFonts w:cs="Calibri"/>
          <w:lang w:val="el-GR"/>
        </w:rPr>
        <w:t>Εχετε</w:t>
      </w:r>
      <w:proofErr w:type="spellEnd"/>
      <w:r w:rsidRPr="000B5357">
        <w:rPr>
          <w:rFonts w:cs="Calibri"/>
          <w:lang w:val="el-GR"/>
        </w:rPr>
        <w:t xml:space="preserve"> επίσης την εξέλιξη του Ακαθάριστου Εγχώριου Προϊόντος (ΑΕΠ) των χωρών της Ευρω</w:t>
      </w:r>
      <w:r w:rsidR="00A877FD">
        <w:rPr>
          <w:rFonts w:cs="Calibri"/>
          <w:lang w:val="el-GR"/>
        </w:rPr>
        <w:t>ζώνης</w:t>
      </w:r>
      <w:r w:rsidRPr="000B5357">
        <w:rPr>
          <w:rFonts w:cs="Calibri"/>
          <w:lang w:val="el-GR"/>
        </w:rPr>
        <w:t>. Τα στοιχεία αυτ</w:t>
      </w:r>
      <w:r>
        <w:rPr>
          <w:rFonts w:cs="Calibri"/>
          <w:lang w:val="el-GR"/>
        </w:rPr>
        <w:t>ά α</w:t>
      </w:r>
      <w:r w:rsidRPr="000B5357">
        <w:rPr>
          <w:rFonts w:cs="Calibri"/>
          <w:lang w:val="el-GR"/>
        </w:rPr>
        <w:t>φορούν στην περίοδο 200</w:t>
      </w:r>
      <w:r>
        <w:rPr>
          <w:rFonts w:cs="Calibri"/>
          <w:lang w:val="en-US"/>
        </w:rPr>
        <w:t>3</w:t>
      </w:r>
      <w:r w:rsidRPr="000B5357">
        <w:rPr>
          <w:rFonts w:cs="Calibri"/>
          <w:lang w:val="el-GR"/>
        </w:rPr>
        <w:t>-2022</w:t>
      </w:r>
      <w:r>
        <w:rPr>
          <w:rFonts w:cs="Calibri"/>
          <w:lang w:val="en-US"/>
        </w:rPr>
        <w:t xml:space="preserve">, </w:t>
      </w:r>
      <w:r>
        <w:rPr>
          <w:rFonts w:cs="Calibri"/>
          <w:lang w:val="el-GR"/>
        </w:rPr>
        <w:t xml:space="preserve">πλην των </w:t>
      </w:r>
      <w:proofErr w:type="spellStart"/>
      <w:r>
        <w:rPr>
          <w:rFonts w:cs="Calibri"/>
          <w:lang w:val="el-GR"/>
        </w:rPr>
        <w:t>μικροδανείων</w:t>
      </w:r>
      <w:proofErr w:type="spellEnd"/>
      <w:r>
        <w:rPr>
          <w:rFonts w:cs="Calibri"/>
          <w:lang w:val="el-GR"/>
        </w:rPr>
        <w:t xml:space="preserve"> (2021).</w:t>
      </w:r>
    </w:p>
    <w:p w:rsidR="004C027A" w:rsidRPr="004C027A" w:rsidRDefault="004C027A" w:rsidP="004C027A">
      <w:pPr>
        <w:pStyle w:val="a4"/>
        <w:ind w:right="-625"/>
        <w:jc w:val="both"/>
        <w:rPr>
          <w:rFonts w:cs="Calibri"/>
          <w:lang w:val="el-GR"/>
        </w:rPr>
      </w:pPr>
      <w:r>
        <w:rPr>
          <w:rFonts w:cs="Calibri"/>
          <w:lang w:val="el-GR"/>
        </w:rPr>
        <w:t xml:space="preserve">Τα στοιχεία είναι με βάση τον δείκτη 100, όπου το έτος 2003 είναι το έτος βάσης, δηλαδή το 2003 είναι 100. </w:t>
      </w:r>
    </w:p>
    <w:p w:rsidR="004C027A" w:rsidRPr="000B5357" w:rsidRDefault="004C027A" w:rsidP="004C027A">
      <w:pPr>
        <w:pStyle w:val="a4"/>
        <w:ind w:right="-625"/>
        <w:jc w:val="both"/>
        <w:rPr>
          <w:rFonts w:cs="Calibri"/>
          <w:lang w:val="en-US"/>
        </w:rPr>
      </w:pPr>
      <w:r w:rsidRPr="000B5357">
        <w:rPr>
          <w:rFonts w:cs="Calibri"/>
          <w:lang w:val="el-GR"/>
        </w:rPr>
        <w:t xml:space="preserve">Να σχολιάσετε </w:t>
      </w:r>
      <w:r>
        <w:rPr>
          <w:rFonts w:cs="Calibri"/>
          <w:lang w:val="el-GR"/>
        </w:rPr>
        <w:t xml:space="preserve">α/ </w:t>
      </w:r>
      <w:r w:rsidRPr="000B5357">
        <w:rPr>
          <w:rFonts w:cs="Calibri"/>
          <w:lang w:val="el-GR"/>
        </w:rPr>
        <w:t>την εξέλιξη</w:t>
      </w:r>
      <w:r>
        <w:rPr>
          <w:rFonts w:cs="Calibri"/>
          <w:lang w:val="el-GR"/>
        </w:rPr>
        <w:t xml:space="preserve"> των δύο μορφών χρηματοδότησης, β/ να το δείτε σε σχέση και με τις κρίσεις (η εξέλιξη του ΑΕΠ σας βοηθάει σε αυτό)</w:t>
      </w:r>
      <w:r w:rsidR="00D20798">
        <w:rPr>
          <w:rFonts w:cs="Calibri"/>
          <w:lang w:val="el-GR"/>
        </w:rPr>
        <w:t>. Στο σχολιασμό μπορείτε να βάλετε και λόγους που επέδρασαν θετικά στην εξέλιξη των δύο μορφών χρηματοδότησης.</w:t>
      </w:r>
    </w:p>
    <w:p w:rsidR="004C027A" w:rsidRPr="000B5357" w:rsidRDefault="004C027A" w:rsidP="004C027A">
      <w:pPr>
        <w:pStyle w:val="a4"/>
        <w:ind w:right="-625"/>
        <w:jc w:val="both"/>
        <w:rPr>
          <w:rFonts w:cs="Calibri"/>
          <w:b/>
          <w:lang w:val="el-GR"/>
        </w:rPr>
      </w:pPr>
    </w:p>
    <w:tbl>
      <w:tblPr>
        <w:tblStyle w:val="-1"/>
        <w:tblW w:w="5160" w:type="dxa"/>
        <w:tblLook w:val="04A0" w:firstRow="1" w:lastRow="0" w:firstColumn="1" w:lastColumn="0" w:noHBand="0" w:noVBand="1"/>
      </w:tblPr>
      <w:tblGrid>
        <w:gridCol w:w="875"/>
        <w:gridCol w:w="1340"/>
        <w:gridCol w:w="1569"/>
        <w:gridCol w:w="1376"/>
      </w:tblGrid>
      <w:tr w:rsidR="004C027A" w:rsidRPr="004C027A" w:rsidTr="004C02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hideMark/>
          </w:tcPr>
          <w:p w:rsidR="004C027A" w:rsidRPr="004C027A" w:rsidRDefault="004C027A" w:rsidP="00C034F7">
            <w:pP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40" w:type="dxa"/>
            <w:hideMark/>
          </w:tcPr>
          <w:p w:rsidR="004C027A" w:rsidRPr="004C027A" w:rsidRDefault="004C027A" w:rsidP="00C034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Υπόλοιπα εγγυήσεων (2003=100)</w:t>
            </w:r>
          </w:p>
        </w:tc>
        <w:tc>
          <w:tcPr>
            <w:tcW w:w="1569" w:type="dxa"/>
            <w:hideMark/>
          </w:tcPr>
          <w:p w:rsidR="004C027A" w:rsidRPr="004C027A" w:rsidRDefault="004C027A" w:rsidP="00C034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Μικροδάνεια</w:t>
            </w:r>
            <w:proofErr w:type="spellEnd"/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(2003=100)</w:t>
            </w:r>
          </w:p>
        </w:tc>
        <w:tc>
          <w:tcPr>
            <w:tcW w:w="1376" w:type="dxa"/>
            <w:hideMark/>
          </w:tcPr>
          <w:p w:rsidR="004C027A" w:rsidRPr="004C027A" w:rsidRDefault="004C027A" w:rsidP="00C034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ΑΕΠ Ευρωζώνη (2003=100)</w:t>
            </w:r>
          </w:p>
        </w:tc>
      </w:tr>
      <w:tr w:rsidR="004C027A" w:rsidRPr="004C027A" w:rsidTr="004C0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hideMark/>
          </w:tcPr>
          <w:p w:rsidR="004C027A" w:rsidRPr="004C027A" w:rsidRDefault="004C027A" w:rsidP="00C034F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2003</w:t>
            </w:r>
          </w:p>
        </w:tc>
        <w:tc>
          <w:tcPr>
            <w:tcW w:w="1340" w:type="dxa"/>
            <w:hideMark/>
          </w:tcPr>
          <w:p w:rsidR="004C027A" w:rsidRPr="004C027A" w:rsidRDefault="004C027A" w:rsidP="00C03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100</w:t>
            </w:r>
          </w:p>
        </w:tc>
        <w:tc>
          <w:tcPr>
            <w:tcW w:w="1569" w:type="dxa"/>
            <w:hideMark/>
          </w:tcPr>
          <w:p w:rsidR="004C027A" w:rsidRPr="004C027A" w:rsidRDefault="004C027A" w:rsidP="00C03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100</w:t>
            </w:r>
          </w:p>
        </w:tc>
        <w:tc>
          <w:tcPr>
            <w:tcW w:w="1376" w:type="dxa"/>
            <w:hideMark/>
          </w:tcPr>
          <w:p w:rsidR="004C027A" w:rsidRPr="004C027A" w:rsidRDefault="004C027A" w:rsidP="00C03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100</w:t>
            </w:r>
          </w:p>
        </w:tc>
      </w:tr>
      <w:tr w:rsidR="004C027A" w:rsidRPr="004C027A" w:rsidTr="004C02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hideMark/>
          </w:tcPr>
          <w:p w:rsidR="004C027A" w:rsidRPr="004C027A" w:rsidRDefault="004C027A" w:rsidP="00C034F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2004</w:t>
            </w:r>
          </w:p>
        </w:tc>
        <w:tc>
          <w:tcPr>
            <w:tcW w:w="1340" w:type="dxa"/>
            <w:hideMark/>
          </w:tcPr>
          <w:p w:rsidR="004C027A" w:rsidRPr="004C027A" w:rsidRDefault="004C027A" w:rsidP="00C03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109</w:t>
            </w:r>
          </w:p>
        </w:tc>
        <w:tc>
          <w:tcPr>
            <w:tcW w:w="1569" w:type="dxa"/>
            <w:hideMark/>
          </w:tcPr>
          <w:p w:rsidR="004C027A" w:rsidRPr="004C027A" w:rsidRDefault="004C027A" w:rsidP="00C03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140</w:t>
            </w:r>
          </w:p>
        </w:tc>
        <w:tc>
          <w:tcPr>
            <w:tcW w:w="1376" w:type="dxa"/>
            <w:hideMark/>
          </w:tcPr>
          <w:p w:rsidR="004C027A" w:rsidRPr="004C027A" w:rsidRDefault="004C027A" w:rsidP="00C03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115</w:t>
            </w:r>
          </w:p>
        </w:tc>
      </w:tr>
      <w:tr w:rsidR="004C027A" w:rsidRPr="004C027A" w:rsidTr="004C0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hideMark/>
          </w:tcPr>
          <w:p w:rsidR="004C027A" w:rsidRPr="004C027A" w:rsidRDefault="004C027A" w:rsidP="00C034F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2005</w:t>
            </w:r>
          </w:p>
        </w:tc>
        <w:tc>
          <w:tcPr>
            <w:tcW w:w="1340" w:type="dxa"/>
            <w:hideMark/>
          </w:tcPr>
          <w:p w:rsidR="004C027A" w:rsidRPr="004C027A" w:rsidRDefault="004C027A" w:rsidP="00C03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122</w:t>
            </w:r>
          </w:p>
        </w:tc>
        <w:tc>
          <w:tcPr>
            <w:tcW w:w="1569" w:type="dxa"/>
            <w:hideMark/>
          </w:tcPr>
          <w:p w:rsidR="004C027A" w:rsidRPr="004C027A" w:rsidRDefault="004C027A" w:rsidP="00C03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154</w:t>
            </w:r>
          </w:p>
        </w:tc>
        <w:tc>
          <w:tcPr>
            <w:tcW w:w="1376" w:type="dxa"/>
            <w:hideMark/>
          </w:tcPr>
          <w:p w:rsidR="004C027A" w:rsidRPr="004C027A" w:rsidRDefault="004C027A" w:rsidP="00C03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119</w:t>
            </w:r>
          </w:p>
        </w:tc>
      </w:tr>
      <w:tr w:rsidR="004C027A" w:rsidRPr="004C027A" w:rsidTr="004C02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hideMark/>
          </w:tcPr>
          <w:p w:rsidR="004C027A" w:rsidRPr="004C027A" w:rsidRDefault="004C027A" w:rsidP="00C034F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2006</w:t>
            </w:r>
          </w:p>
        </w:tc>
        <w:tc>
          <w:tcPr>
            <w:tcW w:w="1340" w:type="dxa"/>
            <w:hideMark/>
          </w:tcPr>
          <w:p w:rsidR="004C027A" w:rsidRPr="004C027A" w:rsidRDefault="004C027A" w:rsidP="00C03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130</w:t>
            </w:r>
          </w:p>
        </w:tc>
        <w:tc>
          <w:tcPr>
            <w:tcW w:w="1569" w:type="dxa"/>
            <w:hideMark/>
          </w:tcPr>
          <w:p w:rsidR="004C027A" w:rsidRPr="004C027A" w:rsidRDefault="004C027A" w:rsidP="00C03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179</w:t>
            </w:r>
          </w:p>
        </w:tc>
        <w:tc>
          <w:tcPr>
            <w:tcW w:w="1376" w:type="dxa"/>
            <w:hideMark/>
          </w:tcPr>
          <w:p w:rsidR="004C027A" w:rsidRPr="004C027A" w:rsidRDefault="004C027A" w:rsidP="00C03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126</w:t>
            </w:r>
          </w:p>
        </w:tc>
      </w:tr>
      <w:tr w:rsidR="004C027A" w:rsidRPr="004C027A" w:rsidTr="004C0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hideMark/>
          </w:tcPr>
          <w:p w:rsidR="004C027A" w:rsidRPr="004C027A" w:rsidRDefault="004C027A" w:rsidP="00C034F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2007</w:t>
            </w:r>
          </w:p>
        </w:tc>
        <w:tc>
          <w:tcPr>
            <w:tcW w:w="1340" w:type="dxa"/>
            <w:hideMark/>
          </w:tcPr>
          <w:p w:rsidR="004C027A" w:rsidRPr="004C027A" w:rsidRDefault="004C027A" w:rsidP="00C03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146</w:t>
            </w:r>
          </w:p>
        </w:tc>
        <w:tc>
          <w:tcPr>
            <w:tcW w:w="1569" w:type="dxa"/>
            <w:hideMark/>
          </w:tcPr>
          <w:p w:rsidR="004C027A" w:rsidRPr="004C027A" w:rsidRDefault="004C027A" w:rsidP="00C03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188</w:t>
            </w:r>
          </w:p>
        </w:tc>
        <w:tc>
          <w:tcPr>
            <w:tcW w:w="1376" w:type="dxa"/>
            <w:hideMark/>
          </w:tcPr>
          <w:p w:rsidR="004C027A" w:rsidRPr="004C027A" w:rsidRDefault="004C027A" w:rsidP="00C03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145</w:t>
            </w:r>
          </w:p>
        </w:tc>
      </w:tr>
      <w:tr w:rsidR="004C027A" w:rsidRPr="004C027A" w:rsidTr="004C02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hideMark/>
          </w:tcPr>
          <w:p w:rsidR="004C027A" w:rsidRPr="004C027A" w:rsidRDefault="004C027A" w:rsidP="00C034F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2008</w:t>
            </w:r>
          </w:p>
        </w:tc>
        <w:tc>
          <w:tcPr>
            <w:tcW w:w="1340" w:type="dxa"/>
            <w:hideMark/>
          </w:tcPr>
          <w:p w:rsidR="004C027A" w:rsidRPr="004C027A" w:rsidRDefault="004C027A" w:rsidP="00C03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150</w:t>
            </w:r>
          </w:p>
        </w:tc>
        <w:tc>
          <w:tcPr>
            <w:tcW w:w="1569" w:type="dxa"/>
            <w:hideMark/>
          </w:tcPr>
          <w:p w:rsidR="004C027A" w:rsidRPr="004C027A" w:rsidRDefault="004C027A" w:rsidP="00C03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382</w:t>
            </w:r>
          </w:p>
        </w:tc>
        <w:tc>
          <w:tcPr>
            <w:tcW w:w="1376" w:type="dxa"/>
            <w:hideMark/>
          </w:tcPr>
          <w:p w:rsidR="004C027A" w:rsidRPr="004C027A" w:rsidRDefault="004C027A" w:rsidP="00C03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160</w:t>
            </w:r>
          </w:p>
        </w:tc>
      </w:tr>
      <w:tr w:rsidR="004C027A" w:rsidRPr="004C027A" w:rsidTr="004C0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hideMark/>
          </w:tcPr>
          <w:p w:rsidR="004C027A" w:rsidRPr="004C027A" w:rsidRDefault="004C027A" w:rsidP="00C034F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2009</w:t>
            </w:r>
          </w:p>
        </w:tc>
        <w:tc>
          <w:tcPr>
            <w:tcW w:w="1340" w:type="dxa"/>
            <w:hideMark/>
          </w:tcPr>
          <w:p w:rsidR="004C027A" w:rsidRPr="004C027A" w:rsidRDefault="004C027A" w:rsidP="00C03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192</w:t>
            </w:r>
          </w:p>
        </w:tc>
        <w:tc>
          <w:tcPr>
            <w:tcW w:w="1569" w:type="dxa"/>
            <w:hideMark/>
          </w:tcPr>
          <w:p w:rsidR="004C027A" w:rsidRPr="004C027A" w:rsidRDefault="004C027A" w:rsidP="00C03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394</w:t>
            </w:r>
          </w:p>
        </w:tc>
        <w:tc>
          <w:tcPr>
            <w:tcW w:w="1376" w:type="dxa"/>
            <w:hideMark/>
          </w:tcPr>
          <w:p w:rsidR="004C027A" w:rsidRPr="004C027A" w:rsidRDefault="004C027A" w:rsidP="00C03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146</w:t>
            </w:r>
          </w:p>
        </w:tc>
      </w:tr>
      <w:tr w:rsidR="004C027A" w:rsidRPr="004C027A" w:rsidTr="004C02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hideMark/>
          </w:tcPr>
          <w:p w:rsidR="004C027A" w:rsidRPr="004C027A" w:rsidRDefault="004C027A" w:rsidP="00C034F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2010</w:t>
            </w:r>
          </w:p>
        </w:tc>
        <w:tc>
          <w:tcPr>
            <w:tcW w:w="1340" w:type="dxa"/>
            <w:hideMark/>
          </w:tcPr>
          <w:p w:rsidR="004C027A" w:rsidRPr="004C027A" w:rsidRDefault="004C027A" w:rsidP="00C03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211</w:t>
            </w:r>
          </w:p>
        </w:tc>
        <w:tc>
          <w:tcPr>
            <w:tcW w:w="1569" w:type="dxa"/>
            <w:hideMark/>
          </w:tcPr>
          <w:p w:rsidR="004C027A" w:rsidRPr="004C027A" w:rsidRDefault="004C027A" w:rsidP="00C03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371</w:t>
            </w:r>
          </w:p>
        </w:tc>
        <w:tc>
          <w:tcPr>
            <w:tcW w:w="1376" w:type="dxa"/>
            <w:hideMark/>
          </w:tcPr>
          <w:p w:rsidR="004C027A" w:rsidRPr="004C027A" w:rsidRDefault="004C027A" w:rsidP="00C03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143</w:t>
            </w:r>
          </w:p>
        </w:tc>
      </w:tr>
      <w:tr w:rsidR="004C027A" w:rsidRPr="004C027A" w:rsidTr="004C0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hideMark/>
          </w:tcPr>
          <w:p w:rsidR="004C027A" w:rsidRPr="004C027A" w:rsidRDefault="004C027A" w:rsidP="00C034F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2011</w:t>
            </w:r>
          </w:p>
        </w:tc>
        <w:tc>
          <w:tcPr>
            <w:tcW w:w="1340" w:type="dxa"/>
            <w:hideMark/>
          </w:tcPr>
          <w:p w:rsidR="004C027A" w:rsidRPr="004C027A" w:rsidRDefault="004C027A" w:rsidP="00C03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214</w:t>
            </w:r>
          </w:p>
        </w:tc>
        <w:tc>
          <w:tcPr>
            <w:tcW w:w="1569" w:type="dxa"/>
            <w:hideMark/>
          </w:tcPr>
          <w:p w:rsidR="004C027A" w:rsidRPr="004C027A" w:rsidRDefault="004C027A" w:rsidP="00C03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511</w:t>
            </w:r>
          </w:p>
        </w:tc>
        <w:tc>
          <w:tcPr>
            <w:tcW w:w="1376" w:type="dxa"/>
            <w:hideMark/>
          </w:tcPr>
          <w:p w:rsidR="004C027A" w:rsidRPr="004C027A" w:rsidRDefault="004C027A" w:rsidP="00C03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154</w:t>
            </w:r>
          </w:p>
        </w:tc>
      </w:tr>
      <w:tr w:rsidR="004C027A" w:rsidRPr="004C027A" w:rsidTr="004C02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hideMark/>
          </w:tcPr>
          <w:p w:rsidR="004C027A" w:rsidRPr="004C027A" w:rsidRDefault="004C027A" w:rsidP="00C034F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2012</w:t>
            </w:r>
          </w:p>
        </w:tc>
        <w:tc>
          <w:tcPr>
            <w:tcW w:w="1340" w:type="dxa"/>
            <w:hideMark/>
          </w:tcPr>
          <w:p w:rsidR="004C027A" w:rsidRPr="004C027A" w:rsidRDefault="004C027A" w:rsidP="00C03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219</w:t>
            </w:r>
          </w:p>
        </w:tc>
        <w:tc>
          <w:tcPr>
            <w:tcW w:w="1569" w:type="dxa"/>
            <w:hideMark/>
          </w:tcPr>
          <w:p w:rsidR="004C027A" w:rsidRPr="004C027A" w:rsidRDefault="004C027A" w:rsidP="00C03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620</w:t>
            </w:r>
          </w:p>
        </w:tc>
        <w:tc>
          <w:tcPr>
            <w:tcW w:w="1376" w:type="dxa"/>
            <w:hideMark/>
          </w:tcPr>
          <w:p w:rsidR="004C027A" w:rsidRPr="004C027A" w:rsidRDefault="004C027A" w:rsidP="00C03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143</w:t>
            </w:r>
          </w:p>
        </w:tc>
      </w:tr>
      <w:tr w:rsidR="004C027A" w:rsidRPr="004C027A" w:rsidTr="004C0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hideMark/>
          </w:tcPr>
          <w:p w:rsidR="004C027A" w:rsidRPr="004C027A" w:rsidRDefault="004C027A" w:rsidP="00C034F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2013</w:t>
            </w:r>
          </w:p>
        </w:tc>
        <w:tc>
          <w:tcPr>
            <w:tcW w:w="1340" w:type="dxa"/>
            <w:hideMark/>
          </w:tcPr>
          <w:p w:rsidR="004C027A" w:rsidRPr="004C027A" w:rsidRDefault="004C027A" w:rsidP="00C03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215</w:t>
            </w:r>
          </w:p>
        </w:tc>
        <w:tc>
          <w:tcPr>
            <w:tcW w:w="1569" w:type="dxa"/>
            <w:hideMark/>
          </w:tcPr>
          <w:p w:rsidR="004C027A" w:rsidRPr="004C027A" w:rsidRDefault="004C027A" w:rsidP="00C03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728</w:t>
            </w:r>
          </w:p>
        </w:tc>
        <w:tc>
          <w:tcPr>
            <w:tcW w:w="1376" w:type="dxa"/>
            <w:hideMark/>
          </w:tcPr>
          <w:p w:rsidR="004C027A" w:rsidRPr="004C027A" w:rsidRDefault="004C027A" w:rsidP="00C03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149</w:t>
            </w:r>
          </w:p>
        </w:tc>
      </w:tr>
      <w:tr w:rsidR="004C027A" w:rsidRPr="004C027A" w:rsidTr="004C02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hideMark/>
          </w:tcPr>
          <w:p w:rsidR="004C027A" w:rsidRPr="004C027A" w:rsidRDefault="004C027A" w:rsidP="00C034F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2014</w:t>
            </w:r>
          </w:p>
        </w:tc>
        <w:tc>
          <w:tcPr>
            <w:tcW w:w="1340" w:type="dxa"/>
            <w:hideMark/>
          </w:tcPr>
          <w:p w:rsidR="004C027A" w:rsidRPr="004C027A" w:rsidRDefault="004C027A" w:rsidP="00C03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220</w:t>
            </w:r>
          </w:p>
        </w:tc>
        <w:tc>
          <w:tcPr>
            <w:tcW w:w="1569" w:type="dxa"/>
            <w:hideMark/>
          </w:tcPr>
          <w:p w:rsidR="004C027A" w:rsidRPr="004C027A" w:rsidRDefault="004C027A" w:rsidP="00C03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779</w:t>
            </w:r>
          </w:p>
        </w:tc>
        <w:tc>
          <w:tcPr>
            <w:tcW w:w="1376" w:type="dxa"/>
            <w:hideMark/>
          </w:tcPr>
          <w:p w:rsidR="004C027A" w:rsidRPr="004C027A" w:rsidRDefault="004C027A" w:rsidP="00C03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153</w:t>
            </w:r>
          </w:p>
        </w:tc>
      </w:tr>
      <w:tr w:rsidR="004C027A" w:rsidRPr="004C027A" w:rsidTr="004C0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hideMark/>
          </w:tcPr>
          <w:p w:rsidR="004C027A" w:rsidRPr="004C027A" w:rsidRDefault="004C027A" w:rsidP="00C034F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2015</w:t>
            </w:r>
          </w:p>
        </w:tc>
        <w:tc>
          <w:tcPr>
            <w:tcW w:w="1340" w:type="dxa"/>
            <w:hideMark/>
          </w:tcPr>
          <w:p w:rsidR="004C027A" w:rsidRPr="004C027A" w:rsidRDefault="004C027A" w:rsidP="00C03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225</w:t>
            </w:r>
          </w:p>
        </w:tc>
        <w:tc>
          <w:tcPr>
            <w:tcW w:w="1569" w:type="dxa"/>
            <w:hideMark/>
          </w:tcPr>
          <w:p w:rsidR="004C027A" w:rsidRPr="004C027A" w:rsidRDefault="004C027A" w:rsidP="00C03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833</w:t>
            </w:r>
          </w:p>
        </w:tc>
        <w:tc>
          <w:tcPr>
            <w:tcW w:w="1376" w:type="dxa"/>
            <w:hideMark/>
          </w:tcPr>
          <w:p w:rsidR="004C027A" w:rsidRPr="004C027A" w:rsidRDefault="004C027A" w:rsidP="00C03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132</w:t>
            </w:r>
          </w:p>
        </w:tc>
      </w:tr>
      <w:tr w:rsidR="004C027A" w:rsidRPr="004C027A" w:rsidTr="004C02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hideMark/>
          </w:tcPr>
          <w:p w:rsidR="004C027A" w:rsidRPr="004C027A" w:rsidRDefault="004C027A" w:rsidP="00C034F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2016</w:t>
            </w:r>
          </w:p>
        </w:tc>
        <w:tc>
          <w:tcPr>
            <w:tcW w:w="1340" w:type="dxa"/>
            <w:hideMark/>
          </w:tcPr>
          <w:p w:rsidR="004C027A" w:rsidRPr="004C027A" w:rsidRDefault="004C027A" w:rsidP="00C03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241</w:t>
            </w:r>
          </w:p>
        </w:tc>
        <w:tc>
          <w:tcPr>
            <w:tcW w:w="1569" w:type="dxa"/>
            <w:hideMark/>
          </w:tcPr>
          <w:p w:rsidR="004C027A" w:rsidRPr="004C027A" w:rsidRDefault="004C027A" w:rsidP="00C03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885</w:t>
            </w:r>
          </w:p>
        </w:tc>
        <w:tc>
          <w:tcPr>
            <w:tcW w:w="1376" w:type="dxa"/>
            <w:hideMark/>
          </w:tcPr>
          <w:p w:rsidR="004C027A" w:rsidRPr="004C027A" w:rsidRDefault="004C027A" w:rsidP="00C03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135</w:t>
            </w:r>
          </w:p>
        </w:tc>
      </w:tr>
      <w:tr w:rsidR="004C027A" w:rsidRPr="004C027A" w:rsidTr="004C0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hideMark/>
          </w:tcPr>
          <w:p w:rsidR="004C027A" w:rsidRPr="004C027A" w:rsidRDefault="004C027A" w:rsidP="00C034F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2017</w:t>
            </w:r>
          </w:p>
        </w:tc>
        <w:tc>
          <w:tcPr>
            <w:tcW w:w="1340" w:type="dxa"/>
            <w:hideMark/>
          </w:tcPr>
          <w:p w:rsidR="004C027A" w:rsidRPr="004C027A" w:rsidRDefault="004C027A" w:rsidP="00C03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370</w:t>
            </w:r>
          </w:p>
        </w:tc>
        <w:tc>
          <w:tcPr>
            <w:tcW w:w="1569" w:type="dxa"/>
            <w:hideMark/>
          </w:tcPr>
          <w:p w:rsidR="004C027A" w:rsidRPr="004C027A" w:rsidRDefault="004C027A" w:rsidP="00C03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986</w:t>
            </w:r>
          </w:p>
        </w:tc>
        <w:tc>
          <w:tcPr>
            <w:tcW w:w="1376" w:type="dxa"/>
            <w:hideMark/>
          </w:tcPr>
          <w:p w:rsidR="004C027A" w:rsidRPr="004C027A" w:rsidRDefault="004C027A" w:rsidP="00C03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143</w:t>
            </w:r>
          </w:p>
        </w:tc>
      </w:tr>
      <w:tr w:rsidR="004C027A" w:rsidRPr="004C027A" w:rsidTr="004C02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hideMark/>
          </w:tcPr>
          <w:p w:rsidR="004C027A" w:rsidRPr="004C027A" w:rsidRDefault="004C027A" w:rsidP="00C034F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2018</w:t>
            </w:r>
          </w:p>
        </w:tc>
        <w:tc>
          <w:tcPr>
            <w:tcW w:w="1340" w:type="dxa"/>
            <w:hideMark/>
          </w:tcPr>
          <w:p w:rsidR="004C027A" w:rsidRPr="004C027A" w:rsidRDefault="004C027A" w:rsidP="00C03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367</w:t>
            </w:r>
          </w:p>
        </w:tc>
        <w:tc>
          <w:tcPr>
            <w:tcW w:w="1569" w:type="dxa"/>
            <w:hideMark/>
          </w:tcPr>
          <w:p w:rsidR="004C027A" w:rsidRPr="004C027A" w:rsidRDefault="004C027A" w:rsidP="00C03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1.667</w:t>
            </w:r>
          </w:p>
        </w:tc>
        <w:tc>
          <w:tcPr>
            <w:tcW w:w="1376" w:type="dxa"/>
            <w:hideMark/>
          </w:tcPr>
          <w:p w:rsidR="004C027A" w:rsidRPr="004C027A" w:rsidRDefault="004C027A" w:rsidP="00C03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155</w:t>
            </w:r>
          </w:p>
        </w:tc>
      </w:tr>
      <w:tr w:rsidR="004C027A" w:rsidRPr="004C027A" w:rsidTr="004C0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hideMark/>
          </w:tcPr>
          <w:p w:rsidR="004C027A" w:rsidRPr="004C027A" w:rsidRDefault="004C027A" w:rsidP="00C034F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2019</w:t>
            </w:r>
          </w:p>
        </w:tc>
        <w:tc>
          <w:tcPr>
            <w:tcW w:w="1340" w:type="dxa"/>
            <w:hideMark/>
          </w:tcPr>
          <w:p w:rsidR="004C027A" w:rsidRPr="004C027A" w:rsidRDefault="004C027A" w:rsidP="00C03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355</w:t>
            </w:r>
          </w:p>
        </w:tc>
        <w:tc>
          <w:tcPr>
            <w:tcW w:w="1569" w:type="dxa"/>
            <w:hideMark/>
          </w:tcPr>
          <w:p w:rsidR="004C027A" w:rsidRPr="004C027A" w:rsidRDefault="004C027A" w:rsidP="00C03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1.779</w:t>
            </w:r>
          </w:p>
        </w:tc>
        <w:tc>
          <w:tcPr>
            <w:tcW w:w="1376" w:type="dxa"/>
            <w:hideMark/>
          </w:tcPr>
          <w:p w:rsidR="004C027A" w:rsidRPr="004C027A" w:rsidRDefault="004C027A" w:rsidP="00C03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152</w:t>
            </w:r>
          </w:p>
        </w:tc>
      </w:tr>
      <w:tr w:rsidR="004C027A" w:rsidRPr="004C027A" w:rsidTr="004C02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hideMark/>
          </w:tcPr>
          <w:p w:rsidR="004C027A" w:rsidRPr="004C027A" w:rsidRDefault="004C027A" w:rsidP="00C034F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2020</w:t>
            </w:r>
          </w:p>
        </w:tc>
        <w:tc>
          <w:tcPr>
            <w:tcW w:w="1340" w:type="dxa"/>
            <w:hideMark/>
          </w:tcPr>
          <w:p w:rsidR="004C027A" w:rsidRPr="004C027A" w:rsidRDefault="004C027A" w:rsidP="00C03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1.065</w:t>
            </w:r>
          </w:p>
        </w:tc>
        <w:tc>
          <w:tcPr>
            <w:tcW w:w="1569" w:type="dxa"/>
            <w:hideMark/>
          </w:tcPr>
          <w:p w:rsidR="004C027A" w:rsidRPr="004C027A" w:rsidRDefault="004C027A" w:rsidP="00C03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1.882</w:t>
            </w:r>
          </w:p>
        </w:tc>
        <w:tc>
          <w:tcPr>
            <w:tcW w:w="1376" w:type="dxa"/>
            <w:hideMark/>
          </w:tcPr>
          <w:p w:rsidR="004C027A" w:rsidRPr="004C027A" w:rsidRDefault="004C027A" w:rsidP="00C03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148</w:t>
            </w:r>
          </w:p>
        </w:tc>
      </w:tr>
      <w:tr w:rsidR="004C027A" w:rsidRPr="004C027A" w:rsidTr="004C0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hideMark/>
          </w:tcPr>
          <w:p w:rsidR="004C027A" w:rsidRPr="004C027A" w:rsidRDefault="004C027A" w:rsidP="00C034F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2021</w:t>
            </w:r>
          </w:p>
        </w:tc>
        <w:tc>
          <w:tcPr>
            <w:tcW w:w="1340" w:type="dxa"/>
            <w:hideMark/>
          </w:tcPr>
          <w:p w:rsidR="004C027A" w:rsidRPr="004C027A" w:rsidRDefault="004C027A" w:rsidP="00C03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1.002</w:t>
            </w:r>
          </w:p>
        </w:tc>
        <w:tc>
          <w:tcPr>
            <w:tcW w:w="1569" w:type="dxa"/>
            <w:hideMark/>
          </w:tcPr>
          <w:p w:rsidR="004C027A" w:rsidRPr="004C027A" w:rsidRDefault="004C027A" w:rsidP="00C03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2.051</w:t>
            </w:r>
          </w:p>
        </w:tc>
        <w:tc>
          <w:tcPr>
            <w:tcW w:w="1376" w:type="dxa"/>
            <w:hideMark/>
          </w:tcPr>
          <w:p w:rsidR="004C027A" w:rsidRPr="004C027A" w:rsidRDefault="004C027A" w:rsidP="00C034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166</w:t>
            </w:r>
          </w:p>
        </w:tc>
      </w:tr>
      <w:tr w:rsidR="004C027A" w:rsidRPr="004C027A" w:rsidTr="004C02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hideMark/>
          </w:tcPr>
          <w:p w:rsidR="004C027A" w:rsidRPr="004C027A" w:rsidRDefault="004C027A" w:rsidP="00C034F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2022</w:t>
            </w:r>
          </w:p>
        </w:tc>
        <w:tc>
          <w:tcPr>
            <w:tcW w:w="1340" w:type="dxa"/>
            <w:hideMark/>
          </w:tcPr>
          <w:p w:rsidR="004C027A" w:rsidRPr="004C027A" w:rsidRDefault="004C027A" w:rsidP="00C03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857</w:t>
            </w:r>
          </w:p>
        </w:tc>
        <w:tc>
          <w:tcPr>
            <w:tcW w:w="1569" w:type="dxa"/>
            <w:hideMark/>
          </w:tcPr>
          <w:p w:rsidR="004C027A" w:rsidRPr="004C027A" w:rsidRDefault="004C027A" w:rsidP="00C03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376" w:type="dxa"/>
            <w:hideMark/>
          </w:tcPr>
          <w:p w:rsidR="004C027A" w:rsidRPr="004C027A" w:rsidRDefault="004C027A" w:rsidP="00C034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4C02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160</w:t>
            </w:r>
          </w:p>
        </w:tc>
      </w:tr>
    </w:tbl>
    <w:p w:rsidR="004C027A" w:rsidRDefault="004C027A">
      <w:pPr>
        <w:rPr>
          <w:lang w:val="en-US"/>
        </w:rPr>
      </w:pPr>
    </w:p>
    <w:p w:rsidR="004C027A" w:rsidRDefault="004C027A">
      <w:bookmarkStart w:id="0" w:name="_GoBack"/>
      <w:r>
        <w:rPr>
          <w:noProof/>
          <w:lang w:eastAsia="el-GR"/>
        </w:rPr>
        <w:lastRenderedPageBreak/>
        <w:drawing>
          <wp:inline distT="0" distB="0" distL="0" distR="0" wp14:anchorId="2ABE6DFC" wp14:editId="78450B95">
            <wp:extent cx="5779698" cy="5607170"/>
            <wp:effectExtent l="0" t="0" r="12065" b="12700"/>
            <wp:docPr id="1" name="Γράφημ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D61690" w:rsidRPr="00D61690" w:rsidRDefault="00D61690">
      <w:r>
        <w:t xml:space="preserve">Ο άξονας αριστερά αφορά στα υπόλοιπα εγγυήσεων και τα </w:t>
      </w:r>
      <w:proofErr w:type="spellStart"/>
      <w:r>
        <w:t>μικροδάνεια</w:t>
      </w:r>
      <w:proofErr w:type="spellEnd"/>
      <w:r>
        <w:t>. Ο άξονας δεξιά αφορά στο ΑΕΠ</w:t>
      </w:r>
    </w:p>
    <w:sectPr w:rsidR="00D61690" w:rsidRPr="00D616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7A"/>
    <w:rsid w:val="00091BD9"/>
    <w:rsid w:val="00093F9A"/>
    <w:rsid w:val="004C027A"/>
    <w:rsid w:val="004F3032"/>
    <w:rsid w:val="00A877FD"/>
    <w:rsid w:val="00D20798"/>
    <w:rsid w:val="00D6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Shading Accent 1"/>
    <w:basedOn w:val="a1"/>
    <w:uiPriority w:val="60"/>
    <w:rsid w:val="004C02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4C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C027A"/>
    <w:rPr>
      <w:rFonts w:ascii="Tahoma" w:hAnsi="Tahoma" w:cs="Tahoma"/>
      <w:sz w:val="16"/>
      <w:szCs w:val="16"/>
    </w:rPr>
  </w:style>
  <w:style w:type="paragraph" w:styleId="a4">
    <w:name w:val="No Spacing"/>
    <w:basedOn w:val="a"/>
    <w:uiPriority w:val="1"/>
    <w:qFormat/>
    <w:rsid w:val="004C027A"/>
    <w:pPr>
      <w:spacing w:after="0" w:line="240" w:lineRule="auto"/>
    </w:pPr>
    <w:rPr>
      <w:lang w:val="fr-FR" w:bidi="en-US"/>
    </w:rPr>
  </w:style>
  <w:style w:type="character" w:styleId="-">
    <w:name w:val="Hyperlink"/>
    <w:basedOn w:val="a0"/>
    <w:uiPriority w:val="99"/>
    <w:unhideWhenUsed/>
    <w:rsid w:val="004C02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Shading Accent 1"/>
    <w:basedOn w:val="a1"/>
    <w:uiPriority w:val="60"/>
    <w:rsid w:val="004C02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4C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C027A"/>
    <w:rPr>
      <w:rFonts w:ascii="Tahoma" w:hAnsi="Tahoma" w:cs="Tahoma"/>
      <w:sz w:val="16"/>
      <w:szCs w:val="16"/>
    </w:rPr>
  </w:style>
  <w:style w:type="paragraph" w:styleId="a4">
    <w:name w:val="No Spacing"/>
    <w:basedOn w:val="a"/>
    <w:uiPriority w:val="1"/>
    <w:qFormat/>
    <w:rsid w:val="004C027A"/>
    <w:pPr>
      <w:spacing w:after="0" w:line="240" w:lineRule="auto"/>
    </w:pPr>
    <w:rPr>
      <w:lang w:val="fr-FR" w:bidi="en-US"/>
    </w:rPr>
  </w:style>
  <w:style w:type="character" w:styleId="-">
    <w:name w:val="Hyperlink"/>
    <w:basedOn w:val="a0"/>
    <w:uiPriority w:val="99"/>
    <w:unhideWhenUsed/>
    <w:rsid w:val="004C0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arafolas@uowm.gr" TargetMode="External"/><Relationship Id="rId5" Type="http://schemas.openxmlformats.org/officeDocument/2006/relationships/hyperlink" Target="mailto:skarafolas@yahoo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I\Desktop\&#947;&#953;&#945;%20&#964;&#959;%20&#948;&#953;&#945;&#947;&#974;&#957;&#953;&#963;&#956;&#945;%20&#956;&#951;%20&#964;&#961;&#945;&#960;%20&#967;&#961;&#951;&#956;%20&#928;&#924;&#93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Φύλλο2!$M$40</c:f>
              <c:strCache>
                <c:ptCount val="1"/>
                <c:pt idx="0">
                  <c:v>Υπόλοιπα εγγυήσεων (2003=100)</c:v>
                </c:pt>
              </c:strCache>
            </c:strRef>
          </c:tx>
          <c:cat>
            <c:numRef>
              <c:f>Φύλλο2!$L$41:$L$60</c:f>
              <c:numCache>
                <c:formatCode>General</c:formatCod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</c:v>
                </c:pt>
                <c:pt idx="16">
                  <c:v>2019</c:v>
                </c:pt>
                <c:pt idx="17">
                  <c:v>2020</c:v>
                </c:pt>
                <c:pt idx="18">
                  <c:v>2021</c:v>
                </c:pt>
                <c:pt idx="19">
                  <c:v>2022</c:v>
                </c:pt>
              </c:numCache>
            </c:numRef>
          </c:cat>
          <c:val>
            <c:numRef>
              <c:f>Φύλλο2!$M$41:$M$60</c:f>
              <c:numCache>
                <c:formatCode>#,##0</c:formatCode>
                <c:ptCount val="20"/>
                <c:pt idx="0">
                  <c:v>100</c:v>
                </c:pt>
                <c:pt idx="1">
                  <c:v>109.2540192926045</c:v>
                </c:pt>
                <c:pt idx="2">
                  <c:v>122.38585209003215</c:v>
                </c:pt>
                <c:pt idx="3">
                  <c:v>130.17041800643088</c:v>
                </c:pt>
                <c:pt idx="4">
                  <c:v>146.35691318327974</c:v>
                </c:pt>
                <c:pt idx="5">
                  <c:v>150.0257234726688</c:v>
                </c:pt>
                <c:pt idx="6">
                  <c:v>191.55948553054662</c:v>
                </c:pt>
                <c:pt idx="7">
                  <c:v>211.26688102893891</c:v>
                </c:pt>
                <c:pt idx="8">
                  <c:v>214.0578778135048</c:v>
                </c:pt>
                <c:pt idx="9">
                  <c:v>219.09324758842445</c:v>
                </c:pt>
                <c:pt idx="10">
                  <c:v>215.02893890675244</c:v>
                </c:pt>
                <c:pt idx="11">
                  <c:v>220.47909967845661</c:v>
                </c:pt>
                <c:pt idx="12">
                  <c:v>224.80385852090032</c:v>
                </c:pt>
                <c:pt idx="13">
                  <c:v>240.77813504823152</c:v>
                </c:pt>
                <c:pt idx="14">
                  <c:v>369.93247588424435</c:v>
                </c:pt>
                <c:pt idx="15">
                  <c:v>366.80064308681671</c:v>
                </c:pt>
                <c:pt idx="16">
                  <c:v>354.54019292604499</c:v>
                </c:pt>
                <c:pt idx="17">
                  <c:v>1064.951768488746</c:v>
                </c:pt>
                <c:pt idx="18">
                  <c:v>1002.250803858521</c:v>
                </c:pt>
                <c:pt idx="19">
                  <c:v>857.2347266881028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Φύλλο2!$N$40</c:f>
              <c:strCache>
                <c:ptCount val="1"/>
                <c:pt idx="0">
                  <c:v>Μικροδάνεια (2003=100)</c:v>
                </c:pt>
              </c:strCache>
            </c:strRef>
          </c:tx>
          <c:cat>
            <c:numRef>
              <c:f>Φύλλο2!$L$41:$L$60</c:f>
              <c:numCache>
                <c:formatCode>General</c:formatCod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</c:v>
                </c:pt>
                <c:pt idx="16">
                  <c:v>2019</c:v>
                </c:pt>
                <c:pt idx="17">
                  <c:v>2020</c:v>
                </c:pt>
                <c:pt idx="18">
                  <c:v>2021</c:v>
                </c:pt>
                <c:pt idx="19">
                  <c:v>2022</c:v>
                </c:pt>
              </c:numCache>
            </c:numRef>
          </c:cat>
          <c:val>
            <c:numRef>
              <c:f>Φύλλο2!$N$41:$N$60</c:f>
              <c:numCache>
                <c:formatCode>#,##0</c:formatCode>
                <c:ptCount val="20"/>
                <c:pt idx="0">
                  <c:v>100</c:v>
                </c:pt>
                <c:pt idx="1">
                  <c:v>140.47619047619045</c:v>
                </c:pt>
                <c:pt idx="2">
                  <c:v>154.28571428571431</c:v>
                </c:pt>
                <c:pt idx="3">
                  <c:v>179.04761904761907</c:v>
                </c:pt>
                <c:pt idx="4">
                  <c:v>187.61904761904762</c:v>
                </c:pt>
                <c:pt idx="5">
                  <c:v>381.90476190476193</c:v>
                </c:pt>
                <c:pt idx="6">
                  <c:v>394.28571428571433</c:v>
                </c:pt>
                <c:pt idx="7">
                  <c:v>370.95238095238096</c:v>
                </c:pt>
                <c:pt idx="8">
                  <c:v>511.42857142857139</c:v>
                </c:pt>
                <c:pt idx="9">
                  <c:v>620.47619047619048</c:v>
                </c:pt>
                <c:pt idx="10">
                  <c:v>727.61904761904759</c:v>
                </c:pt>
                <c:pt idx="11">
                  <c:v>778.57142857142856</c:v>
                </c:pt>
                <c:pt idx="12">
                  <c:v>833.33333333333337</c:v>
                </c:pt>
                <c:pt idx="13">
                  <c:v>885.2380952380953</c:v>
                </c:pt>
                <c:pt idx="14">
                  <c:v>985.71428571428578</c:v>
                </c:pt>
                <c:pt idx="15">
                  <c:v>1667.1428571428571</c:v>
                </c:pt>
                <c:pt idx="16">
                  <c:v>1778.5714285714284</c:v>
                </c:pt>
                <c:pt idx="17">
                  <c:v>1882.3809523809523</c:v>
                </c:pt>
                <c:pt idx="18">
                  <c:v>2051.4285714285716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2263040"/>
        <c:axId val="102273024"/>
      </c:lineChart>
      <c:lineChart>
        <c:grouping val="standard"/>
        <c:varyColors val="0"/>
        <c:ser>
          <c:idx val="2"/>
          <c:order val="2"/>
          <c:tx>
            <c:strRef>
              <c:f>Φύλλο2!$O$40</c:f>
              <c:strCache>
                <c:ptCount val="1"/>
                <c:pt idx="0">
                  <c:v>ΑΕΠ Ευρωζώνη (2003=100)</c:v>
                </c:pt>
              </c:strCache>
            </c:strRef>
          </c:tx>
          <c:cat>
            <c:numRef>
              <c:f>Φύλλο2!$L$41:$L$60</c:f>
              <c:numCache>
                <c:formatCode>General</c:formatCode>
                <c:ptCount val="20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  <c:pt idx="15">
                  <c:v>2018</c:v>
                </c:pt>
                <c:pt idx="16">
                  <c:v>2019</c:v>
                </c:pt>
                <c:pt idx="17">
                  <c:v>2020</c:v>
                </c:pt>
                <c:pt idx="18">
                  <c:v>2021</c:v>
                </c:pt>
                <c:pt idx="19">
                  <c:v>2022</c:v>
                </c:pt>
              </c:numCache>
            </c:numRef>
          </c:cat>
          <c:val>
            <c:numRef>
              <c:f>Φύλλο2!$O$41:$O$60</c:f>
              <c:numCache>
                <c:formatCode>#,##0</c:formatCode>
                <c:ptCount val="20"/>
                <c:pt idx="0">
                  <c:v>100</c:v>
                </c:pt>
                <c:pt idx="1">
                  <c:v>114.66348301694455</c:v>
                </c:pt>
                <c:pt idx="2">
                  <c:v>118.7806299378087</c:v>
                </c:pt>
                <c:pt idx="3">
                  <c:v>126.25557948849935</c:v>
                </c:pt>
                <c:pt idx="4">
                  <c:v>145.41574108363599</c:v>
                </c:pt>
                <c:pt idx="5">
                  <c:v>159.89553298128868</c:v>
                </c:pt>
                <c:pt idx="6">
                  <c:v>146.11438323717385</c:v>
                </c:pt>
                <c:pt idx="7">
                  <c:v>142.74158770762045</c:v>
                </c:pt>
                <c:pt idx="8">
                  <c:v>153.98313804538216</c:v>
                </c:pt>
                <c:pt idx="9">
                  <c:v>142.68601057932273</c:v>
                </c:pt>
                <c:pt idx="10">
                  <c:v>148.97925214202346</c:v>
                </c:pt>
                <c:pt idx="11">
                  <c:v>152.51232783874653</c:v>
                </c:pt>
                <c:pt idx="12">
                  <c:v>131.79910863052672</c:v>
                </c:pt>
                <c:pt idx="13">
                  <c:v>135.15620319987141</c:v>
                </c:pt>
                <c:pt idx="14">
                  <c:v>143.14694671395313</c:v>
                </c:pt>
                <c:pt idx="15">
                  <c:v>154.65685197433675</c:v>
                </c:pt>
                <c:pt idx="16">
                  <c:v>151.50841046603304</c:v>
                </c:pt>
                <c:pt idx="17">
                  <c:v>147.84956974086671</c:v>
                </c:pt>
                <c:pt idx="18">
                  <c:v>165.82929336125864</c:v>
                </c:pt>
                <c:pt idx="19">
                  <c:v>159.67993418409233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2276096"/>
        <c:axId val="102274560"/>
      </c:lineChart>
      <c:catAx>
        <c:axId val="102263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2273024"/>
        <c:crosses val="autoZero"/>
        <c:auto val="1"/>
        <c:lblAlgn val="ctr"/>
        <c:lblOffset val="100"/>
        <c:noMultiLvlLbl val="0"/>
      </c:catAx>
      <c:valAx>
        <c:axId val="10227302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02263040"/>
        <c:crosses val="autoZero"/>
        <c:crossBetween val="between"/>
      </c:valAx>
      <c:valAx>
        <c:axId val="102274560"/>
        <c:scaling>
          <c:orientation val="minMax"/>
        </c:scaling>
        <c:delete val="0"/>
        <c:axPos val="r"/>
        <c:numFmt formatCode="#,##0" sourceLinked="1"/>
        <c:majorTickMark val="out"/>
        <c:minorTickMark val="none"/>
        <c:tickLblPos val="nextTo"/>
        <c:crossAx val="102276096"/>
        <c:crosses val="max"/>
        <c:crossBetween val="between"/>
      </c:valAx>
      <c:catAx>
        <c:axId val="1022760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2274560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</dc:creator>
  <cp:lastModifiedBy>TEI</cp:lastModifiedBy>
  <cp:revision>4</cp:revision>
  <dcterms:created xsi:type="dcterms:W3CDTF">2024-06-25T05:34:00Z</dcterms:created>
  <dcterms:modified xsi:type="dcterms:W3CDTF">2024-06-26T15:26:00Z</dcterms:modified>
</cp:coreProperties>
</file>