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8832" w14:textId="11AEE425" w:rsidR="000A1FD0" w:rsidRDefault="000A1FD0" w:rsidP="000A1FD0">
      <w:pPr>
        <w:jc w:val="center"/>
        <w:rPr>
          <w:rFonts w:ascii="Times New Roman" w:hAnsi="Times New Roman" w:cs="Times New Roman"/>
          <w:b/>
          <w:bCs/>
          <w:i/>
          <w:iCs/>
          <w:sz w:val="24"/>
          <w:szCs w:val="24"/>
          <w:u w:val="single"/>
        </w:rPr>
      </w:pPr>
      <w:r w:rsidRPr="000A1FD0">
        <w:rPr>
          <w:rFonts w:ascii="Times New Roman" w:hAnsi="Times New Roman" w:cs="Times New Roman"/>
          <w:b/>
          <w:bCs/>
          <w:i/>
          <w:iCs/>
          <w:sz w:val="24"/>
          <w:szCs w:val="24"/>
          <w:u w:val="single"/>
        </w:rPr>
        <w:t>Στατιστικά στοιχεία</w:t>
      </w:r>
      <w:r w:rsidR="004C7783">
        <w:rPr>
          <w:rFonts w:ascii="Times New Roman" w:hAnsi="Times New Roman" w:cs="Times New Roman"/>
          <w:b/>
          <w:bCs/>
          <w:i/>
          <w:iCs/>
          <w:sz w:val="24"/>
          <w:szCs w:val="24"/>
          <w:u w:val="single"/>
        </w:rPr>
        <w:t xml:space="preserve"> ενδοοικογενειακής βίας </w:t>
      </w:r>
    </w:p>
    <w:p w14:paraId="019BE181" w14:textId="77777777" w:rsidR="000A1FD0" w:rsidRPr="000A1FD0" w:rsidRDefault="000A1FD0" w:rsidP="000A1FD0">
      <w:pPr>
        <w:jc w:val="both"/>
        <w:rPr>
          <w:rFonts w:ascii="Times New Roman" w:hAnsi="Times New Roman" w:cs="Times New Roman"/>
          <w:sz w:val="24"/>
          <w:szCs w:val="24"/>
        </w:rPr>
      </w:pPr>
    </w:p>
    <w:p w14:paraId="551F96A4" w14:textId="77777777" w:rsidR="000A1FD0" w:rsidRDefault="000A1FD0" w:rsidP="000A1FD0">
      <w:pPr>
        <w:jc w:val="both"/>
        <w:rPr>
          <w:rFonts w:ascii="Times New Roman" w:hAnsi="Times New Roman" w:cs="Times New Roman"/>
          <w:sz w:val="24"/>
          <w:szCs w:val="24"/>
        </w:rPr>
      </w:pPr>
      <w:r w:rsidRPr="000A1FD0">
        <w:rPr>
          <w:rFonts w:ascii="Times New Roman" w:hAnsi="Times New Roman" w:cs="Times New Roman"/>
          <w:sz w:val="24"/>
          <w:szCs w:val="24"/>
        </w:rPr>
        <w:t> Ο αριθμός των γυναικών που έχουν καταγγείλει στην αστυνομία περιστατικά ενδοοικογενειακής βίας το διάστημα 2012-2017 παρουσιάζει αύξηση της τάξης του 49%.</w:t>
      </w:r>
    </w:p>
    <w:p w14:paraId="1B25AEBD" w14:textId="77777777" w:rsidR="000A1FD0" w:rsidRDefault="000A1FD0" w:rsidP="000A1FD0">
      <w:pPr>
        <w:jc w:val="both"/>
        <w:rPr>
          <w:rFonts w:ascii="Times New Roman" w:hAnsi="Times New Roman" w:cs="Times New Roman"/>
          <w:sz w:val="24"/>
          <w:szCs w:val="24"/>
        </w:rPr>
      </w:pPr>
      <w:r w:rsidRPr="000A1FD0">
        <w:rPr>
          <w:rFonts w:ascii="Times New Roman" w:hAnsi="Times New Roman" w:cs="Times New Roman"/>
          <w:sz w:val="24"/>
          <w:szCs w:val="24"/>
        </w:rPr>
        <w:t xml:space="preserve"> • Από το σύνολο των 2.833 δραστών ενδοοικογενειακής βίας του 2017, για τους οποίους υπάρχει πληροφορία για το φύλο τους, το 84,5% είναι άνδρες και το 15,5% γυναίκες.</w:t>
      </w:r>
    </w:p>
    <w:p w14:paraId="06641FCF" w14:textId="77777777" w:rsidR="000A1FD0" w:rsidRDefault="000A1FD0" w:rsidP="000A1FD0">
      <w:pPr>
        <w:jc w:val="both"/>
        <w:rPr>
          <w:rFonts w:ascii="Times New Roman" w:hAnsi="Times New Roman" w:cs="Times New Roman"/>
          <w:sz w:val="24"/>
          <w:szCs w:val="24"/>
        </w:rPr>
      </w:pPr>
      <w:r w:rsidRPr="000A1FD0">
        <w:rPr>
          <w:rFonts w:ascii="Times New Roman" w:hAnsi="Times New Roman" w:cs="Times New Roman"/>
          <w:sz w:val="24"/>
          <w:szCs w:val="24"/>
        </w:rPr>
        <w:t xml:space="preserve"> • Το σύνολο των βιασμών που καταγγέλθηκαν ετησίως στην Ελληνική Αστυνομία τα έτη 2010-2017 κυμαίνονταν από 163-264. </w:t>
      </w:r>
    </w:p>
    <w:p w14:paraId="0944FD19" w14:textId="77777777" w:rsidR="000A1FD0" w:rsidRDefault="000A1FD0" w:rsidP="000A1FD0">
      <w:pPr>
        <w:jc w:val="both"/>
        <w:rPr>
          <w:rFonts w:ascii="Times New Roman" w:hAnsi="Times New Roman" w:cs="Times New Roman"/>
          <w:sz w:val="24"/>
          <w:szCs w:val="24"/>
        </w:rPr>
      </w:pPr>
      <w:r w:rsidRPr="000A1FD0">
        <w:rPr>
          <w:rFonts w:ascii="Times New Roman" w:hAnsi="Times New Roman" w:cs="Times New Roman"/>
          <w:sz w:val="24"/>
          <w:szCs w:val="24"/>
        </w:rPr>
        <w:t>• Το 2017 επτά γυναίκες δολοφονήθηκαν στην Ελλάδα από κάποιο μέλος της οικογένειάς τους – το 2016 και το 2018 οι δολοφονίες γυναικών από συγγενικό τους πρόσωπο είχαν ανέλθει σε 13 σε κάθε έτος αντίστοιχα.</w:t>
      </w:r>
    </w:p>
    <w:p w14:paraId="5BF817BB" w14:textId="77777777" w:rsidR="000A1FD0" w:rsidRDefault="000A1FD0" w:rsidP="000A1FD0">
      <w:pPr>
        <w:jc w:val="both"/>
        <w:rPr>
          <w:rFonts w:ascii="Times New Roman" w:hAnsi="Times New Roman" w:cs="Times New Roman"/>
          <w:sz w:val="24"/>
          <w:szCs w:val="24"/>
        </w:rPr>
      </w:pPr>
      <w:r w:rsidRPr="000A1FD0">
        <w:rPr>
          <w:rFonts w:ascii="Times New Roman" w:hAnsi="Times New Roman" w:cs="Times New Roman"/>
          <w:sz w:val="24"/>
          <w:szCs w:val="24"/>
        </w:rPr>
        <w:t xml:space="preserve"> • Από το σύνολο των δραστών που διώχθηκαν ποινικά για άσκηση ενδοοικογενειακής βίας το 86,2% αυτών το 2016 ήταν άνδρες, το 84% αντίστοιχα για το 2017 και το 85,4% για το 2018. </w:t>
      </w:r>
    </w:p>
    <w:p w14:paraId="11BD3149" w14:textId="77777777" w:rsidR="000A1FD0" w:rsidRDefault="000A1FD0" w:rsidP="000A1FD0">
      <w:pPr>
        <w:jc w:val="both"/>
        <w:rPr>
          <w:rFonts w:ascii="Times New Roman" w:hAnsi="Times New Roman" w:cs="Times New Roman"/>
          <w:sz w:val="24"/>
          <w:szCs w:val="24"/>
        </w:rPr>
      </w:pPr>
      <w:r w:rsidRPr="000A1FD0">
        <w:rPr>
          <w:rFonts w:ascii="Times New Roman" w:hAnsi="Times New Roman" w:cs="Times New Roman"/>
          <w:sz w:val="24"/>
          <w:szCs w:val="24"/>
        </w:rPr>
        <w:t xml:space="preserve">• Οι καταδικαστικές αποφάσεις των Εισαγγελιών για ενδοοικογενειακή βία το 2016 αφορούσαν άνδρες σε ποσοστό 92,8%, 93,4% για το 2017 και 92,2% για το 2018. </w:t>
      </w:r>
    </w:p>
    <w:p w14:paraId="20E9FED5" w14:textId="77777777" w:rsidR="000A1FD0" w:rsidRDefault="000A1FD0" w:rsidP="000A1FD0">
      <w:pPr>
        <w:jc w:val="both"/>
        <w:rPr>
          <w:rFonts w:ascii="Times New Roman" w:hAnsi="Times New Roman" w:cs="Times New Roman"/>
          <w:sz w:val="24"/>
          <w:szCs w:val="24"/>
        </w:rPr>
      </w:pPr>
      <w:r w:rsidRPr="000A1FD0">
        <w:rPr>
          <w:rFonts w:ascii="Times New Roman" w:hAnsi="Times New Roman" w:cs="Times New Roman"/>
          <w:sz w:val="24"/>
          <w:szCs w:val="24"/>
        </w:rPr>
        <w:t xml:space="preserve">• Από τη Δευτέρα 2 Απριλίου 2012 μέχρι την Πέμπτη 15 Νοεμβρίου 2018 εξυπηρετήθηκαν στα 41 Συμβουλευτικά Κέντρα ανά την επικράτεια, αυτοπροσώπως αλλά και μέσω τρίτων προσώπων, 25.079 γυναίκες – τα 22.183 περιστατικά αφορούσαν περιστατικά βίας. </w:t>
      </w:r>
    </w:p>
    <w:p w14:paraId="1E2A95E2" w14:textId="62C4C874" w:rsidR="004C7783" w:rsidRDefault="000A1FD0" w:rsidP="004C7783">
      <w:pPr>
        <w:pStyle w:val="a3"/>
        <w:spacing w:line="360" w:lineRule="auto"/>
        <w:jc w:val="both"/>
        <w:rPr>
          <w:rFonts w:ascii="Times New Roman" w:hAnsi="Times New Roman" w:cs="Times New Roman"/>
          <w:sz w:val="24"/>
          <w:szCs w:val="24"/>
        </w:rPr>
      </w:pPr>
      <w:r w:rsidRPr="000A1FD0">
        <w:t xml:space="preserve">• </w:t>
      </w:r>
      <w:r w:rsidRPr="004C7783">
        <w:rPr>
          <w:rFonts w:ascii="Times New Roman" w:hAnsi="Times New Roman" w:cs="Times New Roman"/>
          <w:sz w:val="24"/>
          <w:szCs w:val="24"/>
        </w:rPr>
        <w:t>Από το σύνολο των 3.325 γυναικών που απευθύνθηκαν το 2018 στη γραμμή SOS 15900 της ΓΓΟΠΙΦ, το 88,8% των περιπτώσεων αφορούσε σε περιστατικά ενδοοικογενειακής βίας.</w:t>
      </w:r>
      <w:r w:rsidR="004C7783">
        <w:rPr>
          <w:rFonts w:ascii="Times New Roman" w:hAnsi="Times New Roman" w:cs="Times New Roman"/>
          <w:sz w:val="24"/>
          <w:szCs w:val="24"/>
        </w:rPr>
        <w:t xml:space="preserve"> </w:t>
      </w:r>
    </w:p>
    <w:p w14:paraId="324B03AD" w14:textId="77777777" w:rsidR="004C7783" w:rsidRDefault="004C7783" w:rsidP="004C7783">
      <w:pPr>
        <w:pStyle w:val="a3"/>
        <w:spacing w:line="360" w:lineRule="auto"/>
        <w:jc w:val="both"/>
        <w:rPr>
          <w:rFonts w:ascii="Times New Roman" w:hAnsi="Times New Roman" w:cs="Times New Roman"/>
          <w:sz w:val="24"/>
          <w:szCs w:val="24"/>
        </w:rPr>
      </w:pPr>
    </w:p>
    <w:p w14:paraId="528FD3B3" w14:textId="77777777" w:rsidR="004C7783" w:rsidRDefault="000A1FD0" w:rsidP="004C7783">
      <w:pPr>
        <w:pStyle w:val="a3"/>
        <w:spacing w:line="360" w:lineRule="auto"/>
        <w:jc w:val="both"/>
        <w:rPr>
          <w:rFonts w:ascii="Times New Roman" w:hAnsi="Times New Roman" w:cs="Times New Roman"/>
          <w:sz w:val="24"/>
          <w:szCs w:val="24"/>
        </w:rPr>
      </w:pPr>
      <w:r w:rsidRPr="004C7783">
        <w:rPr>
          <w:rFonts w:ascii="Times New Roman" w:hAnsi="Times New Roman" w:cs="Times New Roman"/>
          <w:sz w:val="24"/>
          <w:szCs w:val="24"/>
        </w:rPr>
        <w:t xml:space="preserve">Η </w:t>
      </w:r>
      <w:proofErr w:type="spellStart"/>
      <w:r w:rsidRPr="004C7783">
        <w:rPr>
          <w:rFonts w:ascii="Times New Roman" w:hAnsi="Times New Roman" w:cs="Times New Roman"/>
          <w:sz w:val="24"/>
          <w:szCs w:val="24"/>
        </w:rPr>
        <w:t>έμφυλη</w:t>
      </w:r>
      <w:proofErr w:type="spellEnd"/>
      <w:r w:rsidRPr="004C7783">
        <w:rPr>
          <w:rFonts w:ascii="Times New Roman" w:hAnsi="Times New Roman" w:cs="Times New Roman"/>
          <w:sz w:val="24"/>
          <w:szCs w:val="24"/>
        </w:rPr>
        <w:t xml:space="preserve"> βία παρότι καθημερινό φαινόμενο παραμένει αόρατο, καθώς το ποσοστό καταγγελιών, παγκοσμίως, είναι μικρό. </w:t>
      </w:r>
    </w:p>
    <w:p w14:paraId="49D65FB4" w14:textId="77777777" w:rsidR="004C7783" w:rsidRDefault="000A1FD0" w:rsidP="004C7783">
      <w:pPr>
        <w:pStyle w:val="a3"/>
        <w:spacing w:line="360" w:lineRule="auto"/>
        <w:jc w:val="both"/>
        <w:rPr>
          <w:rFonts w:ascii="Times New Roman" w:hAnsi="Times New Roman" w:cs="Times New Roman"/>
          <w:sz w:val="24"/>
          <w:szCs w:val="24"/>
        </w:rPr>
      </w:pPr>
      <w:r w:rsidRPr="004C7783">
        <w:rPr>
          <w:rFonts w:ascii="Times New Roman" w:hAnsi="Times New Roman" w:cs="Times New Roman"/>
          <w:sz w:val="24"/>
          <w:szCs w:val="24"/>
        </w:rPr>
        <w:t xml:space="preserve">• Η πιο συχνή μορφή βίας προέρχεται από τον σύζυγο ή τον ερωτικό σύντροφο. </w:t>
      </w:r>
    </w:p>
    <w:p w14:paraId="01839967" w14:textId="77777777" w:rsidR="004C7783" w:rsidRDefault="000A1FD0" w:rsidP="004C7783">
      <w:pPr>
        <w:pStyle w:val="a3"/>
        <w:spacing w:line="360" w:lineRule="auto"/>
        <w:jc w:val="both"/>
        <w:rPr>
          <w:rFonts w:ascii="Times New Roman" w:hAnsi="Times New Roman" w:cs="Times New Roman"/>
          <w:sz w:val="24"/>
          <w:szCs w:val="24"/>
        </w:rPr>
      </w:pPr>
      <w:r w:rsidRPr="004C7783">
        <w:rPr>
          <w:rFonts w:ascii="Times New Roman" w:hAnsi="Times New Roman" w:cs="Times New Roman"/>
          <w:sz w:val="24"/>
          <w:szCs w:val="24"/>
        </w:rPr>
        <w:t xml:space="preserve">• Οι γυναίκες 15-44 ετών κινδυνεύουν περισσότερο από βιασμό ή ενδοοικογενειακή βία παρά από καρκίνο, τροχαία ατυχήματα, πόλεμο ή ελονοσία. </w:t>
      </w:r>
    </w:p>
    <w:p w14:paraId="1E713840" w14:textId="77777777" w:rsidR="004C7783" w:rsidRDefault="000A1FD0" w:rsidP="004C7783">
      <w:pPr>
        <w:pStyle w:val="a3"/>
        <w:spacing w:line="360" w:lineRule="auto"/>
        <w:jc w:val="both"/>
        <w:rPr>
          <w:rFonts w:ascii="Times New Roman" w:hAnsi="Times New Roman" w:cs="Times New Roman"/>
          <w:sz w:val="24"/>
          <w:szCs w:val="24"/>
        </w:rPr>
      </w:pPr>
      <w:r w:rsidRPr="004C7783">
        <w:rPr>
          <w:rFonts w:ascii="Times New Roman" w:hAnsi="Times New Roman" w:cs="Times New Roman"/>
          <w:sz w:val="24"/>
          <w:szCs w:val="24"/>
        </w:rPr>
        <w:t xml:space="preserve">• 130 εκατομμύρια γυναίκες και κορίτσια έχουν υποστεί ακρωτηριασμό γεννητικών οργάνων. </w:t>
      </w:r>
    </w:p>
    <w:p w14:paraId="00466CAB" w14:textId="30A0A89C" w:rsidR="000A1FD0" w:rsidRPr="004C7783" w:rsidRDefault="000A1FD0" w:rsidP="004C7783">
      <w:pPr>
        <w:pStyle w:val="a3"/>
        <w:spacing w:line="360" w:lineRule="auto"/>
        <w:jc w:val="both"/>
        <w:rPr>
          <w:rFonts w:ascii="Times New Roman" w:hAnsi="Times New Roman" w:cs="Times New Roman"/>
          <w:sz w:val="24"/>
          <w:szCs w:val="24"/>
        </w:rPr>
      </w:pPr>
      <w:r w:rsidRPr="004C7783">
        <w:rPr>
          <w:rFonts w:ascii="Times New Roman" w:hAnsi="Times New Roman" w:cs="Times New Roman"/>
          <w:sz w:val="24"/>
          <w:szCs w:val="24"/>
        </w:rPr>
        <w:t>• Το 55%-95% θυμάτων ενδοοικογενειακής βίας δεν καταγγέλλουν το πρόβλημα. </w:t>
      </w:r>
    </w:p>
    <w:p w14:paraId="4A63150C" w14:textId="562B3D02" w:rsidR="00E423FB" w:rsidRDefault="00E423FB" w:rsidP="000A1FD0">
      <w:pPr>
        <w:jc w:val="both"/>
        <w:rPr>
          <w:rFonts w:ascii="Times New Roman" w:hAnsi="Times New Roman" w:cs="Times New Roman"/>
          <w:sz w:val="24"/>
          <w:szCs w:val="24"/>
        </w:rPr>
      </w:pPr>
    </w:p>
    <w:p w14:paraId="486A898F" w14:textId="77777777" w:rsidR="00E423FB"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lastRenderedPageBreak/>
        <w:t xml:space="preserve">Σύμφωνα με τη μεγαλύτερη </w:t>
      </w:r>
      <w:proofErr w:type="spellStart"/>
      <w:r w:rsidRPr="00E423FB">
        <w:rPr>
          <w:rFonts w:ascii="Times New Roman" w:hAnsi="Times New Roman" w:cs="Times New Roman"/>
          <w:sz w:val="24"/>
          <w:szCs w:val="24"/>
        </w:rPr>
        <w:t>δημοσκοπική</w:t>
      </w:r>
      <w:proofErr w:type="spellEnd"/>
      <w:r w:rsidRPr="00E423FB">
        <w:rPr>
          <w:rFonts w:ascii="Times New Roman" w:hAnsi="Times New Roman" w:cs="Times New Roman"/>
          <w:sz w:val="24"/>
          <w:szCs w:val="24"/>
        </w:rPr>
        <w:t xml:space="preserve"> έρευνα που έχει διεξαχθεί παγκοσμίως, για τη βία κατά των γυναικών (2014, FRA / </w:t>
      </w:r>
      <w:proofErr w:type="spellStart"/>
      <w:r w:rsidRPr="00E423FB">
        <w:rPr>
          <w:rFonts w:ascii="Times New Roman" w:hAnsi="Times New Roman" w:cs="Times New Roman"/>
          <w:sz w:val="24"/>
          <w:szCs w:val="24"/>
        </w:rPr>
        <w:t>Fundamental</w:t>
      </w:r>
      <w:proofErr w:type="spellEnd"/>
      <w:r w:rsidRPr="00E423FB">
        <w:rPr>
          <w:rFonts w:ascii="Times New Roman" w:hAnsi="Times New Roman" w:cs="Times New Roman"/>
          <w:sz w:val="24"/>
          <w:szCs w:val="24"/>
        </w:rPr>
        <w:t xml:space="preserve"> Rights Agency – Europa / Οργανισμός Θεμελιωδών Δικαιωμάτων της Ευρωπαϊκής Ένωσης) με τη συμμετοχή πάνω από 42.000 γυναικών, ηλικίας από 18 έως 74 ετών, από 28 κράτη μέλη της ΕΕ: </w:t>
      </w:r>
    </w:p>
    <w:p w14:paraId="467218E0" w14:textId="77777777" w:rsidR="00E423FB"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t xml:space="preserve">• 1 στις 3 γυναίκες στην ΕΕ έχει υποστεί σωματική βία από την ηλικία των 15 ετών και άνω </w:t>
      </w:r>
    </w:p>
    <w:p w14:paraId="511B326C" w14:textId="77777777" w:rsidR="00E423FB"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t xml:space="preserve">• 1 στις 2 γυναίκες έχει βιώσει ψυχολογική βία από τον σύντροφό της </w:t>
      </w:r>
    </w:p>
    <w:p w14:paraId="52DA6139" w14:textId="44BE2A70" w:rsidR="00E423FB"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t xml:space="preserve">• 1 στις 8 γυναίκες έχει υποστεί οικονομική βία από τον σύντροφό </w:t>
      </w:r>
      <w:r>
        <w:rPr>
          <w:rFonts w:ascii="Times New Roman" w:hAnsi="Times New Roman" w:cs="Times New Roman"/>
          <w:sz w:val="24"/>
          <w:szCs w:val="24"/>
        </w:rPr>
        <w:t>της</w:t>
      </w:r>
    </w:p>
    <w:p w14:paraId="0DC391EB" w14:textId="77777777" w:rsidR="00E423FB"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t xml:space="preserve"> • 1 στις 20 γυναίκες έχει πέσει θύμα βιασμού • 1 στις 3 γυναίκες έχει </w:t>
      </w:r>
      <w:proofErr w:type="spellStart"/>
      <w:r w:rsidRPr="00E423FB">
        <w:rPr>
          <w:rFonts w:ascii="Times New Roman" w:hAnsi="Times New Roman" w:cs="Times New Roman"/>
          <w:sz w:val="24"/>
          <w:szCs w:val="24"/>
        </w:rPr>
        <w:t>παρενοχληθεί</w:t>
      </w:r>
      <w:proofErr w:type="spellEnd"/>
      <w:r w:rsidRPr="00E423FB">
        <w:rPr>
          <w:rFonts w:ascii="Times New Roman" w:hAnsi="Times New Roman" w:cs="Times New Roman"/>
          <w:sz w:val="24"/>
          <w:szCs w:val="24"/>
        </w:rPr>
        <w:t xml:space="preserve"> σεξουαλικά στον χώρο εργασίας </w:t>
      </w:r>
    </w:p>
    <w:p w14:paraId="6779E794" w14:textId="77777777" w:rsidR="00E423FB"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t xml:space="preserve">• 1 στις 5 νεαρές γυναίκες, μεταξύ 18-29 ετών, έχει </w:t>
      </w:r>
      <w:proofErr w:type="spellStart"/>
      <w:r w:rsidRPr="00E423FB">
        <w:rPr>
          <w:rFonts w:ascii="Times New Roman" w:hAnsi="Times New Roman" w:cs="Times New Roman"/>
          <w:sz w:val="24"/>
          <w:szCs w:val="24"/>
        </w:rPr>
        <w:t>παρενοχληθεί</w:t>
      </w:r>
      <w:proofErr w:type="spellEnd"/>
      <w:r w:rsidRPr="00E423FB">
        <w:rPr>
          <w:rFonts w:ascii="Times New Roman" w:hAnsi="Times New Roman" w:cs="Times New Roman"/>
          <w:sz w:val="24"/>
          <w:szCs w:val="24"/>
        </w:rPr>
        <w:t xml:space="preserve"> σεξουαλικά στο διαδίκτυο </w:t>
      </w:r>
    </w:p>
    <w:p w14:paraId="79807F44" w14:textId="519F4DD6" w:rsidR="00E423FB"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t xml:space="preserve">• 1 στις 5 γυναίκες έχει βιώσει </w:t>
      </w:r>
      <w:proofErr w:type="spellStart"/>
      <w:r w:rsidRPr="00E423FB">
        <w:rPr>
          <w:rFonts w:ascii="Times New Roman" w:hAnsi="Times New Roman" w:cs="Times New Roman"/>
          <w:sz w:val="24"/>
          <w:szCs w:val="24"/>
        </w:rPr>
        <w:t>stalking</w:t>
      </w:r>
      <w:proofErr w:type="spellEnd"/>
      <w:r w:rsidRPr="00E423FB">
        <w:rPr>
          <w:rFonts w:ascii="Times New Roman" w:hAnsi="Times New Roman" w:cs="Times New Roman"/>
          <w:sz w:val="24"/>
          <w:szCs w:val="24"/>
        </w:rPr>
        <w:t xml:space="preserve"> (εξακολουθητική παρακολούθηση) </w:t>
      </w:r>
    </w:p>
    <w:p w14:paraId="2E1F2815" w14:textId="77777777" w:rsidR="004C7783"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t xml:space="preserve">• 50 γυναίκες χάνουν τη ζωή τους κάθε εβδομάδα εξαιτίας της ενδοοικογενειακής βίας στην ΕΕ. </w:t>
      </w:r>
    </w:p>
    <w:p w14:paraId="75D2B53D" w14:textId="77777777" w:rsidR="00E423FB"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t>• 2.600 γυναίκες στην ΕΕ χάνουν τη ζωή τους κάθε χρόνο από ενδοοικογενειακή βία. • Το 82% των περιστατικών ενδοοικογενειακής βίας έχει θύματα τις γυναίκες.</w:t>
      </w:r>
    </w:p>
    <w:p w14:paraId="55951924" w14:textId="22F34630" w:rsidR="00E423FB"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t xml:space="preserve"> • 1 στις 2 δολοφονίες γυναικών παγκοσμίως γίνεται από τους συζύγους/συντρόφους. </w:t>
      </w:r>
    </w:p>
    <w:p w14:paraId="53D052C9" w14:textId="1A853340" w:rsidR="00E423FB" w:rsidRDefault="00E423FB" w:rsidP="004C7783">
      <w:pPr>
        <w:spacing w:line="360" w:lineRule="auto"/>
        <w:jc w:val="both"/>
        <w:rPr>
          <w:rFonts w:ascii="Times New Roman" w:hAnsi="Times New Roman" w:cs="Times New Roman"/>
          <w:sz w:val="24"/>
          <w:szCs w:val="24"/>
        </w:rPr>
      </w:pPr>
      <w:r w:rsidRPr="00E423FB">
        <w:rPr>
          <w:rFonts w:ascii="Times New Roman" w:hAnsi="Times New Roman" w:cs="Times New Roman"/>
          <w:sz w:val="24"/>
          <w:szCs w:val="24"/>
        </w:rPr>
        <w:t>• 1 στις 3 γυναίκες και κορίτσια παγκοσμίως βιώνουν σωματική ή σεξουαλική βία κάποια στιγμή στη ζωή τους.</w:t>
      </w:r>
    </w:p>
    <w:p w14:paraId="030BE80F" w14:textId="7AD237B3" w:rsidR="004C7783" w:rsidRDefault="004C7783" w:rsidP="004C7783">
      <w:pPr>
        <w:spacing w:line="360" w:lineRule="auto"/>
        <w:jc w:val="both"/>
        <w:rPr>
          <w:rFonts w:ascii="Times New Roman" w:hAnsi="Times New Roman" w:cs="Times New Roman"/>
          <w:sz w:val="24"/>
          <w:szCs w:val="24"/>
        </w:rPr>
      </w:pPr>
    </w:p>
    <w:p w14:paraId="71A69980" w14:textId="77777777" w:rsidR="004C7783" w:rsidRPr="004C7783" w:rsidRDefault="004C7783" w:rsidP="004C7783">
      <w:pPr>
        <w:spacing w:line="360" w:lineRule="auto"/>
        <w:jc w:val="both"/>
        <w:rPr>
          <w:rFonts w:ascii="Times New Roman" w:hAnsi="Times New Roman" w:cs="Times New Roman"/>
          <w:sz w:val="24"/>
          <w:szCs w:val="24"/>
        </w:rPr>
      </w:pPr>
      <w:r w:rsidRPr="004C7783">
        <w:rPr>
          <w:rFonts w:ascii="Times New Roman" w:hAnsi="Times New Roman" w:cs="Times New Roman"/>
          <w:sz w:val="24"/>
          <w:szCs w:val="24"/>
        </w:rPr>
        <w:t>(Πηγή: https://fra.europa.eu/sites/default/files/fra-2014-vaw-survey-factsheet_el.pdf) Σύμφωνα με τα στοιχεία που παρουσιάστηκαν στο Ευρωπαϊκό Κοινοβούλιο τον Νοέμβριο 2019, στην εκδήλωση με θέμα «</w:t>
      </w:r>
      <w:proofErr w:type="spellStart"/>
      <w:r w:rsidRPr="004C7783">
        <w:rPr>
          <w:rFonts w:ascii="Times New Roman" w:hAnsi="Times New Roman" w:cs="Times New Roman"/>
          <w:sz w:val="24"/>
          <w:szCs w:val="24"/>
        </w:rPr>
        <w:t>Έμφυλη</w:t>
      </w:r>
      <w:proofErr w:type="spellEnd"/>
      <w:r w:rsidRPr="004C7783">
        <w:rPr>
          <w:rFonts w:ascii="Times New Roman" w:hAnsi="Times New Roman" w:cs="Times New Roman"/>
          <w:sz w:val="24"/>
          <w:szCs w:val="24"/>
        </w:rPr>
        <w:t xml:space="preserve"> Βία και τις </w:t>
      </w:r>
      <w:proofErr w:type="spellStart"/>
      <w:r w:rsidRPr="004C7783">
        <w:rPr>
          <w:rFonts w:ascii="Times New Roman" w:hAnsi="Times New Roman" w:cs="Times New Roman"/>
          <w:sz w:val="24"/>
          <w:szCs w:val="24"/>
        </w:rPr>
        <w:t>Κοινωνικο</w:t>
      </w:r>
      <w:proofErr w:type="spellEnd"/>
      <w:r w:rsidRPr="004C7783">
        <w:rPr>
          <w:rFonts w:ascii="Times New Roman" w:hAnsi="Times New Roman" w:cs="Times New Roman"/>
          <w:sz w:val="24"/>
          <w:szCs w:val="24"/>
        </w:rPr>
        <w:t>-πολιτικές Πρακτικές. Η ακραία περίπτωση της «</w:t>
      </w:r>
      <w:proofErr w:type="spellStart"/>
      <w:r w:rsidRPr="004C7783">
        <w:rPr>
          <w:rFonts w:ascii="Times New Roman" w:hAnsi="Times New Roman" w:cs="Times New Roman"/>
          <w:sz w:val="24"/>
          <w:szCs w:val="24"/>
        </w:rPr>
        <w:t>Γυναικοκτονίας</w:t>
      </w:r>
      <w:proofErr w:type="spellEnd"/>
      <w:r w:rsidRPr="004C7783">
        <w:rPr>
          <w:rFonts w:ascii="Times New Roman" w:hAnsi="Times New Roman" w:cs="Times New Roman"/>
          <w:sz w:val="24"/>
          <w:szCs w:val="24"/>
        </w:rPr>
        <w:t xml:space="preserve">»: </w:t>
      </w:r>
    </w:p>
    <w:p w14:paraId="6DAFCD55" w14:textId="77777777" w:rsidR="004C7783" w:rsidRDefault="004C7783" w:rsidP="004C7783">
      <w:pPr>
        <w:spacing w:line="360" w:lineRule="auto"/>
        <w:jc w:val="both"/>
        <w:rPr>
          <w:rFonts w:ascii="Times New Roman" w:hAnsi="Times New Roman" w:cs="Times New Roman"/>
          <w:sz w:val="24"/>
          <w:szCs w:val="24"/>
        </w:rPr>
      </w:pPr>
    </w:p>
    <w:p w14:paraId="2723DC06" w14:textId="25BC8A27" w:rsidR="00E423FB" w:rsidRDefault="00E423FB" w:rsidP="004C7783">
      <w:pPr>
        <w:spacing w:line="360" w:lineRule="auto"/>
        <w:jc w:val="both"/>
        <w:rPr>
          <w:rFonts w:ascii="Times New Roman" w:hAnsi="Times New Roman" w:cs="Times New Roman"/>
          <w:sz w:val="24"/>
          <w:szCs w:val="24"/>
        </w:rPr>
      </w:pPr>
    </w:p>
    <w:p w14:paraId="4D0CC7F1" w14:textId="4F42A758" w:rsidR="00E423FB" w:rsidRDefault="00E423FB" w:rsidP="004C7783">
      <w:pPr>
        <w:pStyle w:val="a3"/>
        <w:spacing w:line="360" w:lineRule="auto"/>
      </w:pPr>
    </w:p>
    <w:p w14:paraId="4B1AB3FC" w14:textId="5A779C4B" w:rsidR="00A05154" w:rsidRDefault="00A05154" w:rsidP="004C7783">
      <w:pPr>
        <w:pStyle w:val="a3"/>
        <w:spacing w:line="360" w:lineRule="auto"/>
      </w:pPr>
    </w:p>
    <w:p w14:paraId="39B3C99B" w14:textId="414A096A" w:rsidR="00A05154" w:rsidRDefault="00A05154" w:rsidP="004C7783">
      <w:pPr>
        <w:pStyle w:val="a3"/>
        <w:spacing w:line="360" w:lineRule="auto"/>
      </w:pPr>
    </w:p>
    <w:p w14:paraId="5057F3A2" w14:textId="592A7CAB" w:rsidR="00A05154" w:rsidRDefault="00A05154" w:rsidP="004C7783">
      <w:pPr>
        <w:pStyle w:val="a3"/>
        <w:spacing w:line="360" w:lineRule="auto"/>
      </w:pPr>
    </w:p>
    <w:p w14:paraId="4DFD9EC3" w14:textId="15C0753C" w:rsidR="00A05154" w:rsidRDefault="00A05154" w:rsidP="004C7783">
      <w:pPr>
        <w:pStyle w:val="a3"/>
        <w:spacing w:line="360" w:lineRule="auto"/>
      </w:pPr>
    </w:p>
    <w:p w14:paraId="135E42D6" w14:textId="2236BC86" w:rsidR="00A05154" w:rsidRDefault="00A05154" w:rsidP="004C7783">
      <w:pPr>
        <w:pStyle w:val="a3"/>
        <w:spacing w:line="360" w:lineRule="auto"/>
      </w:pPr>
    </w:p>
    <w:p w14:paraId="28EB1DAC" w14:textId="5EDE23C7" w:rsidR="00A05154" w:rsidRDefault="00A05154" w:rsidP="004C7783">
      <w:pPr>
        <w:pStyle w:val="a3"/>
        <w:spacing w:line="360" w:lineRule="auto"/>
      </w:pPr>
    </w:p>
    <w:p w14:paraId="0B0F7066" w14:textId="6A57AA21" w:rsidR="00A05154" w:rsidRDefault="00A05154" w:rsidP="004C7783">
      <w:pPr>
        <w:pStyle w:val="a3"/>
        <w:spacing w:line="360" w:lineRule="auto"/>
      </w:pPr>
    </w:p>
    <w:p w14:paraId="4026B338" w14:textId="27B62F28" w:rsidR="00A05154" w:rsidRDefault="00A05154" w:rsidP="004C7783">
      <w:pPr>
        <w:pStyle w:val="a3"/>
        <w:spacing w:line="360" w:lineRule="auto"/>
      </w:pPr>
    </w:p>
    <w:p w14:paraId="133BD3C5" w14:textId="7937F5EB" w:rsidR="00A05154" w:rsidRDefault="00A05154" w:rsidP="004C7783">
      <w:pPr>
        <w:pStyle w:val="a3"/>
        <w:spacing w:line="360" w:lineRule="auto"/>
      </w:pPr>
    </w:p>
    <w:p w14:paraId="72E231E7" w14:textId="6AA15CBB" w:rsidR="00A05154" w:rsidRDefault="00A05154" w:rsidP="004C7783">
      <w:pPr>
        <w:pStyle w:val="a3"/>
        <w:spacing w:line="360" w:lineRule="auto"/>
      </w:pPr>
    </w:p>
    <w:p w14:paraId="4B6F6ED7" w14:textId="0CFC0015" w:rsidR="00A05154" w:rsidRDefault="00A05154" w:rsidP="004C7783">
      <w:pPr>
        <w:pStyle w:val="a3"/>
        <w:spacing w:line="360" w:lineRule="auto"/>
      </w:pPr>
    </w:p>
    <w:p w14:paraId="3A9BCE2A" w14:textId="0641055E" w:rsidR="00A05154" w:rsidRDefault="00A05154" w:rsidP="004C7783">
      <w:pPr>
        <w:pStyle w:val="a3"/>
        <w:spacing w:line="360" w:lineRule="auto"/>
      </w:pPr>
    </w:p>
    <w:p w14:paraId="07778E0A" w14:textId="1090D387" w:rsidR="00A05154" w:rsidRDefault="00A05154" w:rsidP="004C7783">
      <w:pPr>
        <w:pStyle w:val="a3"/>
        <w:spacing w:line="360" w:lineRule="auto"/>
      </w:pPr>
    </w:p>
    <w:p w14:paraId="1F0F96DF" w14:textId="341B9EA9" w:rsidR="00A05154" w:rsidRDefault="00A05154" w:rsidP="004C7783">
      <w:pPr>
        <w:pStyle w:val="a3"/>
        <w:spacing w:line="360" w:lineRule="auto"/>
      </w:pPr>
    </w:p>
    <w:p w14:paraId="22A29555" w14:textId="5247B2D9" w:rsidR="00A05154" w:rsidRDefault="00A05154" w:rsidP="004C7783">
      <w:pPr>
        <w:pStyle w:val="a3"/>
        <w:spacing w:line="360" w:lineRule="auto"/>
      </w:pPr>
    </w:p>
    <w:p w14:paraId="23A507EC" w14:textId="0D2DC174" w:rsidR="00A05154" w:rsidRDefault="00A05154" w:rsidP="004C7783">
      <w:pPr>
        <w:pStyle w:val="a3"/>
        <w:spacing w:line="360" w:lineRule="auto"/>
      </w:pPr>
    </w:p>
    <w:p w14:paraId="2F633504" w14:textId="0BF5A4EF" w:rsidR="00A05154" w:rsidRDefault="00A05154" w:rsidP="004C7783">
      <w:pPr>
        <w:pStyle w:val="a3"/>
        <w:spacing w:line="360" w:lineRule="auto"/>
      </w:pPr>
    </w:p>
    <w:p w14:paraId="69C52D6D" w14:textId="4C6CAF2D" w:rsidR="00A05154" w:rsidRDefault="00A05154" w:rsidP="004C7783">
      <w:pPr>
        <w:pStyle w:val="a3"/>
        <w:spacing w:line="360" w:lineRule="auto"/>
      </w:pPr>
    </w:p>
    <w:p w14:paraId="00891F81" w14:textId="278A3649" w:rsidR="00A05154" w:rsidRDefault="00A05154" w:rsidP="004C7783">
      <w:pPr>
        <w:pStyle w:val="a3"/>
        <w:spacing w:line="360" w:lineRule="auto"/>
      </w:pPr>
    </w:p>
    <w:p w14:paraId="7C515E9E" w14:textId="58A7BF68" w:rsidR="00A05154" w:rsidRDefault="00A05154" w:rsidP="004C7783">
      <w:pPr>
        <w:pStyle w:val="a3"/>
        <w:spacing w:line="360" w:lineRule="auto"/>
      </w:pPr>
    </w:p>
    <w:p w14:paraId="3666DF82" w14:textId="23995931" w:rsidR="00A05154" w:rsidRDefault="00A05154" w:rsidP="004C7783">
      <w:pPr>
        <w:pStyle w:val="a3"/>
        <w:spacing w:line="360" w:lineRule="auto"/>
      </w:pPr>
    </w:p>
    <w:p w14:paraId="4CFF73E8" w14:textId="7F0E7394" w:rsidR="00A05154" w:rsidRDefault="00A05154" w:rsidP="004C7783">
      <w:pPr>
        <w:pStyle w:val="a3"/>
        <w:spacing w:line="360" w:lineRule="auto"/>
      </w:pPr>
    </w:p>
    <w:p w14:paraId="54021D66" w14:textId="52129902" w:rsidR="00A05154" w:rsidRDefault="00A05154" w:rsidP="004C7783">
      <w:pPr>
        <w:pStyle w:val="a3"/>
        <w:spacing w:line="360" w:lineRule="auto"/>
        <w:jc w:val="both"/>
        <w:rPr>
          <w:rFonts w:ascii="Times New Roman" w:hAnsi="Times New Roman" w:cs="Times New Roman"/>
          <w:sz w:val="24"/>
          <w:szCs w:val="24"/>
        </w:rPr>
      </w:pPr>
      <w:r w:rsidRPr="00A05154">
        <w:rPr>
          <w:rFonts w:ascii="Times New Roman" w:hAnsi="Times New Roman" w:cs="Times New Roman"/>
          <w:sz w:val="24"/>
          <w:szCs w:val="24"/>
        </w:rPr>
        <w:t>Το χάσμα αμοιβών μεταξύ των φύλων στην ΕΕ</w:t>
      </w:r>
    </w:p>
    <w:p w14:paraId="2E84B25A" w14:textId="77777777" w:rsidR="00A05154" w:rsidRPr="00A05154" w:rsidRDefault="00A05154" w:rsidP="004C7783">
      <w:pPr>
        <w:pStyle w:val="a3"/>
        <w:spacing w:line="360" w:lineRule="auto"/>
        <w:jc w:val="both"/>
        <w:rPr>
          <w:rFonts w:ascii="Times New Roman" w:hAnsi="Times New Roman" w:cs="Times New Roman"/>
          <w:sz w:val="24"/>
          <w:szCs w:val="24"/>
        </w:rPr>
      </w:pPr>
    </w:p>
    <w:p w14:paraId="702EBA6D" w14:textId="77777777" w:rsidR="00A05154" w:rsidRPr="00A05154" w:rsidRDefault="00A05154" w:rsidP="004C7783">
      <w:pPr>
        <w:pStyle w:val="a3"/>
        <w:spacing w:line="360" w:lineRule="auto"/>
        <w:jc w:val="both"/>
        <w:rPr>
          <w:rFonts w:ascii="Times New Roman" w:hAnsi="Times New Roman" w:cs="Times New Roman"/>
          <w:sz w:val="24"/>
          <w:szCs w:val="24"/>
        </w:rPr>
      </w:pPr>
      <w:r w:rsidRPr="00A05154">
        <w:rPr>
          <w:rFonts w:ascii="Times New Roman" w:hAnsi="Times New Roman" w:cs="Times New Roman"/>
          <w:sz w:val="24"/>
          <w:szCs w:val="24"/>
        </w:rPr>
        <w:t>Το χάσμα αμοιβών μεταξύ αντρών και γυναικών </w:t>
      </w:r>
      <w:hyperlink r:id="rId6" w:tgtFrame="_blank" w:history="1">
        <w:r w:rsidRPr="00A05154">
          <w:rPr>
            <w:rStyle w:val="-"/>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διαφέρει σημαντικά από χώρα σε χώρα</w:t>
        </w:r>
      </w:hyperlink>
      <w:r w:rsidRPr="00A05154">
        <w:rPr>
          <w:rFonts w:ascii="Times New Roman" w:hAnsi="Times New Roman" w:cs="Times New Roman"/>
          <w:sz w:val="24"/>
          <w:szCs w:val="24"/>
        </w:rPr>
        <w:t> ανά την ΕΕ, με το μεγαλύτερο χάσμα να σημειώνεται στην Εσθονία (21,7%), στη Λετονία (21,2%), στην Αυστρία (19,9%), στη Γερμανία (19,2%), στη Τσεχία (18,9%), στη Σλοβακία (18,4%) και στην Ουγγαρία (18,2%) το 2019. Το χάσμα είναι μικρότερο στην Πολωνία (8,5%), στη Σλοβενία (7,9%), στο Βέλγιο (5,8%), στην Ιταλία (4,7%), στη Ρουμανία (3,3%) και στο Λουξεμβούργο (1,3%).</w:t>
      </w:r>
    </w:p>
    <w:p w14:paraId="4BB2E8C6" w14:textId="17EB887C" w:rsidR="00A05154" w:rsidRDefault="00A05154" w:rsidP="004C7783">
      <w:pPr>
        <w:pStyle w:val="a3"/>
        <w:spacing w:line="360" w:lineRule="auto"/>
        <w:jc w:val="both"/>
        <w:rPr>
          <w:rFonts w:ascii="Times New Roman" w:hAnsi="Times New Roman" w:cs="Times New Roman"/>
          <w:sz w:val="24"/>
          <w:szCs w:val="24"/>
        </w:rPr>
      </w:pPr>
      <w:r w:rsidRPr="00A05154">
        <w:rPr>
          <w:rFonts w:ascii="Times New Roman" w:hAnsi="Times New Roman" w:cs="Times New Roman"/>
          <w:sz w:val="24"/>
          <w:szCs w:val="24"/>
        </w:rPr>
        <w:t xml:space="preserve">Η ερμηνεία των αριθμών δεν είναι τόσο απλή όσο φαίνεται, καθώς ένα μικρότερο χάσμα αμοιβών σε μία χώρα δεν συνεπάγεται κατ’ ανάγκην μεγαλύτερη ισότητα των φύλων. Σε ορισμένα κράτη μέλη, τα μειωμένα μισθολογικά χάσματα συνδέονται με τη χαμηλότερη συμμετοχή των γυναικών στην αγορά εργασίας. Με τη σειρά τους, τα </w:t>
      </w:r>
      <w:r w:rsidRPr="00A05154">
        <w:rPr>
          <w:rFonts w:ascii="Times New Roman" w:hAnsi="Times New Roman" w:cs="Times New Roman"/>
          <w:sz w:val="24"/>
          <w:szCs w:val="24"/>
        </w:rPr>
        <w:lastRenderedPageBreak/>
        <w:t>μεγαλύτερα μισθολογικά χάσματα τείνουν να σχετίζονται με τα υψηλά ποσοστά γυναικών που εργάζονται σε θέσεις μερικής απασχόλησης ή με τη συγκέντρωσή τους σε περιορισμένο αριθμό επαγγελμάτων. Μπορούμε ωστόσο να εντοπίσουμε ορισμένους διαρθρωτικούς λόγους για το μισθολογικό χάσμα.</w:t>
      </w:r>
    </w:p>
    <w:p w14:paraId="76F3804F" w14:textId="77777777" w:rsidR="000C0565" w:rsidRPr="000C0565" w:rsidRDefault="00D6569B" w:rsidP="000C0565">
      <w:pPr>
        <w:pStyle w:val="a3"/>
        <w:spacing w:line="360" w:lineRule="auto"/>
        <w:jc w:val="both"/>
        <w:rPr>
          <w:rFonts w:ascii="Times New Roman" w:hAnsi="Times New Roman" w:cs="Times New Roman"/>
          <w:sz w:val="24"/>
          <w:szCs w:val="24"/>
        </w:rPr>
      </w:pPr>
      <w:hyperlink r:id="rId7" w:tgtFrame="_blank" w:history="1">
        <w:r w:rsidR="000C0565" w:rsidRPr="000C0565">
          <w:rPr>
            <w:rStyle w:val="-"/>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Σύμφωνα με στοιχεία του 2018</w:t>
        </w:r>
      </w:hyperlink>
      <w:r w:rsidR="000C0565" w:rsidRPr="000C0565">
        <w:rPr>
          <w:rFonts w:ascii="Times New Roman" w:hAnsi="Times New Roman" w:cs="Times New Roman"/>
          <w:sz w:val="24"/>
          <w:szCs w:val="24"/>
        </w:rPr>
        <w:t xml:space="preserve">, μόνο το </w:t>
      </w:r>
      <w:r w:rsidR="000C0565" w:rsidRPr="000C0565">
        <w:rPr>
          <w:rFonts w:ascii="Times New Roman" w:hAnsi="Times New Roman" w:cs="Times New Roman"/>
          <w:color w:val="FF0000"/>
          <w:sz w:val="24"/>
          <w:szCs w:val="24"/>
        </w:rPr>
        <w:t xml:space="preserve">8% </w:t>
      </w:r>
      <w:r w:rsidR="000C0565" w:rsidRPr="000C0565">
        <w:rPr>
          <w:rFonts w:ascii="Times New Roman" w:hAnsi="Times New Roman" w:cs="Times New Roman"/>
          <w:sz w:val="24"/>
          <w:szCs w:val="24"/>
        </w:rPr>
        <w:t xml:space="preserve">των ανδρών στην ΕΕ εργάζεται σε θέσεις μερικής απασχόλησης, σε σύγκριση με το </w:t>
      </w:r>
      <w:r w:rsidR="000C0565" w:rsidRPr="000C0565">
        <w:rPr>
          <w:rFonts w:ascii="Times New Roman" w:hAnsi="Times New Roman" w:cs="Times New Roman"/>
          <w:color w:val="FF0000"/>
          <w:sz w:val="24"/>
          <w:szCs w:val="24"/>
        </w:rPr>
        <w:t xml:space="preserve">30% </w:t>
      </w:r>
      <w:r w:rsidR="000C0565" w:rsidRPr="000C0565">
        <w:rPr>
          <w:rFonts w:ascii="Times New Roman" w:hAnsi="Times New Roman" w:cs="Times New Roman"/>
          <w:sz w:val="24"/>
          <w:szCs w:val="24"/>
        </w:rPr>
        <w:t>σχεδόν των γυναικών ανά την ΕΕ. Συνολικά, οι γυναίκες εργάζονται περισσότερες ώρες την εβδομάδα σε σχέση με τους άντρες.</w:t>
      </w:r>
    </w:p>
    <w:p w14:paraId="768E57CC" w14:textId="77777777" w:rsidR="000C0565" w:rsidRPr="000C0565" w:rsidRDefault="000C0565" w:rsidP="000C0565">
      <w:pPr>
        <w:pStyle w:val="a3"/>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0565">
        <w:rPr>
          <w:rFonts w:ascii="Times New Roman" w:hAnsi="Times New Roman" w:cs="Times New Roman"/>
          <w:sz w:val="24"/>
          <w:szCs w:val="24"/>
        </w:rPr>
        <w:t>Οι γυναίκες είναι, επίσης, πολύ πιθανότερο να διακόψουν τη σταδιοδρομία τους ενώ μερικές από τις επαγγελματικές τους επιλογές επηρεάζονται από τις </w:t>
      </w:r>
      <w:hyperlink r:id="rId8" w:tgtFrame="_blank" w:history="1">
        <w:r w:rsidRPr="000C0565">
          <w:rPr>
            <w:rStyle w:val="-"/>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ευθύνες φροντίδας και οικογενειακής μέριμνας</w:t>
        </w:r>
      </w:hyperlink>
      <w:r w:rsidRPr="000C056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CB2C1D" w14:textId="77777777" w:rsidR="000C0565" w:rsidRPr="000C0565" w:rsidRDefault="000C0565" w:rsidP="000C0565">
      <w:pPr>
        <w:pStyle w:val="a3"/>
        <w:spacing w:line="360" w:lineRule="auto"/>
        <w:jc w:val="both"/>
        <w:rPr>
          <w:rFonts w:ascii="Times New Roman" w:hAnsi="Times New Roman" w:cs="Times New Roman"/>
          <w:sz w:val="24"/>
          <w:szCs w:val="24"/>
        </w:rPr>
      </w:pPr>
      <w:r w:rsidRPr="000C0565">
        <w:rPr>
          <w:rFonts w:ascii="Times New Roman" w:hAnsi="Times New Roman" w:cs="Times New Roman"/>
          <w:sz w:val="24"/>
          <w:szCs w:val="24"/>
        </w:rPr>
        <w:br/>
      </w:r>
    </w:p>
    <w:p w14:paraId="066829E2" w14:textId="0B98EC63" w:rsidR="000C0565" w:rsidRDefault="000C0565" w:rsidP="000C0565">
      <w:pPr>
        <w:pStyle w:val="a3"/>
        <w:spacing w:line="360" w:lineRule="auto"/>
        <w:jc w:val="both"/>
        <w:rPr>
          <w:rFonts w:ascii="Times New Roman" w:hAnsi="Times New Roman" w:cs="Times New Roman"/>
          <w:color w:val="FF0000"/>
          <w:sz w:val="24"/>
          <w:szCs w:val="24"/>
        </w:rPr>
      </w:pPr>
      <w:r w:rsidRPr="000C0565">
        <w:rPr>
          <w:rFonts w:ascii="Times New Roman" w:hAnsi="Times New Roman" w:cs="Times New Roman"/>
          <w:sz w:val="24"/>
          <w:szCs w:val="24"/>
        </w:rPr>
        <w:t>Το </w:t>
      </w:r>
      <w:hyperlink r:id="rId9" w:tgtFrame="_blank" w:history="1">
        <w:r w:rsidRPr="000C0565">
          <w:rPr>
            <w:rStyle w:val="-"/>
            <w:rFonts w:ascii="Times New Roman" w:hAnsi="Times New Roman" w:cs="Times New Roman"/>
            <w:color w:val="FF0000"/>
            <w:sz w:val="24"/>
            <w:szCs w:val="24"/>
          </w:rPr>
          <w:t>30%</w:t>
        </w:r>
      </w:hyperlink>
      <w:r w:rsidRPr="000C0565">
        <w:rPr>
          <w:rFonts w:ascii="Times New Roman" w:hAnsi="Times New Roman" w:cs="Times New Roman"/>
          <w:sz w:val="24"/>
          <w:szCs w:val="24"/>
        </w:rPr>
        <w:t xml:space="preserve"> περίπου του συνολικού μισθολογικού χάσματος μπορεί να εξηγηθεί από την </w:t>
      </w:r>
      <w:proofErr w:type="spellStart"/>
      <w:r w:rsidRPr="000C0565">
        <w:rPr>
          <w:rFonts w:ascii="Times New Roman" w:hAnsi="Times New Roman" w:cs="Times New Roman"/>
          <w:sz w:val="24"/>
          <w:szCs w:val="24"/>
        </w:rPr>
        <w:t>υπερεκπροσώπηση</w:t>
      </w:r>
      <w:proofErr w:type="spellEnd"/>
      <w:r w:rsidRPr="000C0565">
        <w:rPr>
          <w:rFonts w:ascii="Times New Roman" w:hAnsi="Times New Roman" w:cs="Times New Roman"/>
          <w:sz w:val="24"/>
          <w:szCs w:val="24"/>
        </w:rPr>
        <w:t xml:space="preserve"> των γυναικών σε σχετικά χαμηλότερα εισοδηματικά στρώματα, όπως είναι ο τομέας των πωλήσεων και της εκπαίδευσης. Σε ορισμένους τομείς εργασίας, όπως είναι η επιστήμη ή η τεχνολογία, το ποσοστό απασχόλησης ανδρών είναι εξαιρετικά υψηλό, ξεπερνώντας το </w:t>
      </w:r>
      <w:r w:rsidRPr="000C0565">
        <w:rPr>
          <w:rFonts w:ascii="Times New Roman" w:hAnsi="Times New Roman" w:cs="Times New Roman"/>
          <w:color w:val="FF0000"/>
          <w:sz w:val="24"/>
          <w:szCs w:val="24"/>
        </w:rPr>
        <w:t>80%.</w:t>
      </w:r>
    </w:p>
    <w:p w14:paraId="749FC80D" w14:textId="77777777" w:rsidR="001026A4" w:rsidRPr="001026A4" w:rsidRDefault="001026A4" w:rsidP="001026A4">
      <w:pPr>
        <w:pStyle w:val="a3"/>
        <w:spacing w:line="360" w:lineRule="auto"/>
        <w:jc w:val="both"/>
        <w:rPr>
          <w:rFonts w:ascii="Times New Roman" w:hAnsi="Times New Roman" w:cs="Times New Roman"/>
          <w:sz w:val="24"/>
          <w:szCs w:val="24"/>
        </w:rPr>
      </w:pPr>
      <w:r w:rsidRPr="001026A4">
        <w:rPr>
          <w:rFonts w:ascii="Times New Roman" w:hAnsi="Times New Roman" w:cs="Times New Roman"/>
          <w:sz w:val="24"/>
          <w:szCs w:val="24"/>
        </w:rPr>
        <w:t>Επιπλέον, οι γυναίκες </w:t>
      </w:r>
      <w:hyperlink r:id="rId10" w:tgtFrame="_blank" w:history="1">
        <w:r w:rsidRPr="001026A4">
          <w:rPr>
            <w:rStyle w:val="-"/>
            <w:rFonts w:ascii="Times New Roman" w:hAnsi="Times New Roman" w:cs="Times New Roman"/>
            <w:color w:val="auto"/>
            <w:sz w:val="24"/>
            <w:szCs w:val="24"/>
          </w:rPr>
          <w:t>αντιμετωπίζουν ακόμα σοβαρές διακρίσεις στον χώρο εργασίας</w:t>
        </w:r>
      </w:hyperlink>
      <w:r w:rsidRPr="001026A4">
        <w:rPr>
          <w:rFonts w:ascii="Times New Roman" w:hAnsi="Times New Roman" w:cs="Times New Roman"/>
          <w:sz w:val="24"/>
          <w:szCs w:val="24"/>
        </w:rPr>
        <w:t>, λαμβάνοντας για παράδειγμα μικρότερη αμοιβή σε σχέση με τους άνδρες συναδέλφους (παρότι έχουν τις ίδιες δεξιότητες) ή χάνοντας τη θέση εργασίας τους μετά την επιστροφή τους από την άδεια μητρότητας.</w:t>
      </w:r>
    </w:p>
    <w:p w14:paraId="30CA93CF" w14:textId="77777777" w:rsidR="001026A4" w:rsidRPr="001026A4" w:rsidRDefault="001026A4" w:rsidP="001026A4">
      <w:pPr>
        <w:pStyle w:val="a3"/>
        <w:spacing w:line="360" w:lineRule="auto"/>
        <w:jc w:val="both"/>
        <w:rPr>
          <w:rFonts w:ascii="Times New Roman" w:hAnsi="Times New Roman" w:cs="Times New Roman"/>
          <w:sz w:val="24"/>
          <w:szCs w:val="24"/>
        </w:rPr>
      </w:pPr>
      <w:r w:rsidRPr="001026A4">
        <w:rPr>
          <w:rFonts w:ascii="Times New Roman" w:hAnsi="Times New Roman" w:cs="Times New Roman"/>
          <w:sz w:val="24"/>
          <w:szCs w:val="24"/>
        </w:rPr>
        <w:t>Κατά συνέπεια, οι γυναίκες δεν αμείβονται μόνο λιγότερο ανά ώρα εργασίας αλλά συμπληρώνουν και περισσότερες ώρες αμίσθωτης εργασίας, ενώ διατρέχουν μεγαλύτερο κίνδυνο ανεργίας απ' ό,τι οι άνδρες. Όλοι αυτοί οι παράγοντες οδηγούν τη διαφορά των αποδοχών μεταξύ ανδρών και γυναικών</w:t>
      </w:r>
      <w:r w:rsidRPr="001026A4">
        <w:rPr>
          <w:rFonts w:ascii="Times New Roman" w:hAnsi="Times New Roman" w:cs="Times New Roman"/>
          <w:color w:val="FF0000"/>
          <w:sz w:val="24"/>
          <w:szCs w:val="24"/>
        </w:rPr>
        <w:t> </w:t>
      </w:r>
      <w:hyperlink r:id="rId11" w:anchor="Labour_market" w:tgtFrame="_blank" w:history="1">
        <w:r w:rsidRPr="001026A4">
          <w:rPr>
            <w:rStyle w:val="-"/>
            <w:rFonts w:ascii="Times New Roman" w:hAnsi="Times New Roman" w:cs="Times New Roman"/>
            <w:color w:val="FF0000"/>
            <w:sz w:val="24"/>
            <w:szCs w:val="24"/>
          </w:rPr>
          <w:t>σχεδόν στο 37% στην ΕΕ</w:t>
        </w:r>
      </w:hyperlink>
      <w:r w:rsidRPr="001026A4">
        <w:rPr>
          <w:rFonts w:ascii="Times New Roman" w:hAnsi="Times New Roman" w:cs="Times New Roman"/>
          <w:sz w:val="24"/>
          <w:szCs w:val="24"/>
        </w:rPr>
        <w:t> (το 2018).</w:t>
      </w:r>
    </w:p>
    <w:p w14:paraId="04B13B2E" w14:textId="1E380371" w:rsidR="001026A4" w:rsidRPr="001026A4" w:rsidRDefault="001026A4" w:rsidP="000C0565">
      <w:pPr>
        <w:pStyle w:val="a3"/>
        <w:spacing w:line="360" w:lineRule="auto"/>
        <w:jc w:val="both"/>
        <w:rPr>
          <w:rFonts w:ascii="Times New Roman" w:hAnsi="Times New Roman" w:cs="Times New Roman"/>
          <w:color w:val="FF0000"/>
          <w:sz w:val="24"/>
          <w:szCs w:val="24"/>
        </w:rPr>
      </w:pPr>
    </w:p>
    <w:p w14:paraId="65E8D493" w14:textId="77777777" w:rsidR="001026A4" w:rsidRPr="000C0565" w:rsidRDefault="001026A4" w:rsidP="000C0565">
      <w:pPr>
        <w:pStyle w:val="a3"/>
        <w:spacing w:line="360" w:lineRule="auto"/>
        <w:jc w:val="both"/>
        <w:rPr>
          <w:rFonts w:ascii="Times New Roman" w:hAnsi="Times New Roman" w:cs="Times New Roman"/>
          <w:color w:val="FF0000"/>
          <w:sz w:val="24"/>
          <w:szCs w:val="24"/>
        </w:rPr>
      </w:pPr>
    </w:p>
    <w:p w14:paraId="41DFB46B" w14:textId="77777777" w:rsidR="000C0565" w:rsidRPr="00A05154" w:rsidRDefault="000C0565" w:rsidP="00A05154">
      <w:pPr>
        <w:pStyle w:val="a3"/>
        <w:spacing w:line="360" w:lineRule="auto"/>
        <w:jc w:val="both"/>
        <w:rPr>
          <w:rFonts w:ascii="Times New Roman" w:hAnsi="Times New Roman" w:cs="Times New Roman"/>
          <w:color w:val="FF0000"/>
          <w:sz w:val="24"/>
          <w:szCs w:val="24"/>
        </w:rPr>
      </w:pPr>
    </w:p>
    <w:p w14:paraId="598DC435" w14:textId="77777777" w:rsidR="00A05154" w:rsidRPr="001026A4" w:rsidRDefault="00A05154" w:rsidP="00A05154">
      <w:pPr>
        <w:pStyle w:val="a3"/>
        <w:spacing w:line="360" w:lineRule="auto"/>
        <w:jc w:val="both"/>
        <w:rPr>
          <w:rFonts w:ascii="Times New Roman" w:hAnsi="Times New Roman" w:cs="Times New Roman"/>
          <w:color w:val="FF0000"/>
          <w:sz w:val="24"/>
          <w:szCs w:val="24"/>
        </w:rPr>
      </w:pPr>
    </w:p>
    <w:sectPr w:rsidR="00A05154" w:rsidRPr="001026A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9C27" w14:textId="77777777" w:rsidR="00D6569B" w:rsidRDefault="00D6569B" w:rsidP="00A05154">
      <w:pPr>
        <w:spacing w:after="0" w:line="240" w:lineRule="auto"/>
      </w:pPr>
      <w:r>
        <w:separator/>
      </w:r>
    </w:p>
  </w:endnote>
  <w:endnote w:type="continuationSeparator" w:id="0">
    <w:p w14:paraId="454B2E8F" w14:textId="77777777" w:rsidR="00D6569B" w:rsidRDefault="00D6569B" w:rsidP="00A0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1D58" w14:textId="77777777" w:rsidR="00D6569B" w:rsidRDefault="00D6569B" w:rsidP="00A05154">
      <w:pPr>
        <w:spacing w:after="0" w:line="240" w:lineRule="auto"/>
      </w:pPr>
      <w:r>
        <w:separator/>
      </w:r>
    </w:p>
  </w:footnote>
  <w:footnote w:type="continuationSeparator" w:id="0">
    <w:p w14:paraId="46892E94" w14:textId="77777777" w:rsidR="00D6569B" w:rsidRDefault="00D6569B" w:rsidP="00A05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D0"/>
    <w:rsid w:val="000A1FD0"/>
    <w:rsid w:val="000C0565"/>
    <w:rsid w:val="001026A4"/>
    <w:rsid w:val="004877B8"/>
    <w:rsid w:val="004C7783"/>
    <w:rsid w:val="005327F3"/>
    <w:rsid w:val="00A05154"/>
    <w:rsid w:val="00D6569B"/>
    <w:rsid w:val="00E423FB"/>
    <w:rsid w:val="00EE3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BB88"/>
  <w15:chartTrackingRefBased/>
  <w15:docId w15:val="{F038F207-E098-476C-BBBD-FEF838D8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23FB"/>
    <w:pPr>
      <w:spacing w:after="0" w:line="240" w:lineRule="auto"/>
    </w:pPr>
  </w:style>
  <w:style w:type="paragraph" w:styleId="a4">
    <w:name w:val="header"/>
    <w:basedOn w:val="a"/>
    <w:link w:val="Char"/>
    <w:uiPriority w:val="99"/>
    <w:unhideWhenUsed/>
    <w:rsid w:val="00A05154"/>
    <w:pPr>
      <w:tabs>
        <w:tab w:val="center" w:pos="4153"/>
        <w:tab w:val="right" w:pos="8306"/>
      </w:tabs>
      <w:spacing w:after="0" w:line="240" w:lineRule="auto"/>
    </w:pPr>
  </w:style>
  <w:style w:type="character" w:customStyle="1" w:styleId="Char">
    <w:name w:val="Κεφαλίδα Char"/>
    <w:basedOn w:val="a0"/>
    <w:link w:val="a4"/>
    <w:uiPriority w:val="99"/>
    <w:rsid w:val="00A05154"/>
  </w:style>
  <w:style w:type="paragraph" w:styleId="a5">
    <w:name w:val="footer"/>
    <w:basedOn w:val="a"/>
    <w:link w:val="Char0"/>
    <w:uiPriority w:val="99"/>
    <w:unhideWhenUsed/>
    <w:rsid w:val="00A05154"/>
    <w:pPr>
      <w:tabs>
        <w:tab w:val="center" w:pos="4153"/>
        <w:tab w:val="right" w:pos="8306"/>
      </w:tabs>
      <w:spacing w:after="0" w:line="240" w:lineRule="auto"/>
    </w:pPr>
  </w:style>
  <w:style w:type="character" w:customStyle="1" w:styleId="Char0">
    <w:name w:val="Υποσέλιδο Char"/>
    <w:basedOn w:val="a0"/>
    <w:link w:val="a5"/>
    <w:uiPriority w:val="99"/>
    <w:rsid w:val="00A05154"/>
  </w:style>
  <w:style w:type="character" w:styleId="-">
    <w:name w:val="Hyperlink"/>
    <w:basedOn w:val="a0"/>
    <w:uiPriority w:val="99"/>
    <w:unhideWhenUsed/>
    <w:rsid w:val="00A05154"/>
    <w:rPr>
      <w:color w:val="0563C1" w:themeColor="hyperlink"/>
      <w:u w:val="single"/>
    </w:rPr>
  </w:style>
  <w:style w:type="character" w:styleId="a6">
    <w:name w:val="Unresolved Mention"/>
    <w:basedOn w:val="a0"/>
    <w:uiPriority w:val="99"/>
    <w:semiHidden/>
    <w:unhideWhenUsed/>
    <w:rsid w:val="00A05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58959">
      <w:bodyDiv w:val="1"/>
      <w:marLeft w:val="0"/>
      <w:marRight w:val="0"/>
      <w:marTop w:val="0"/>
      <w:marBottom w:val="0"/>
      <w:divBdr>
        <w:top w:val="none" w:sz="0" w:space="0" w:color="auto"/>
        <w:left w:val="none" w:sz="0" w:space="0" w:color="auto"/>
        <w:bottom w:val="none" w:sz="0" w:space="0" w:color="auto"/>
        <w:right w:val="none" w:sz="0" w:space="0" w:color="auto"/>
      </w:divBdr>
    </w:div>
    <w:div w:id="1345746313">
      <w:bodyDiv w:val="1"/>
      <w:marLeft w:val="0"/>
      <w:marRight w:val="0"/>
      <w:marTop w:val="0"/>
      <w:marBottom w:val="0"/>
      <w:divBdr>
        <w:top w:val="none" w:sz="0" w:space="0" w:color="auto"/>
        <w:left w:val="none" w:sz="0" w:space="0" w:color="auto"/>
        <w:bottom w:val="none" w:sz="0" w:space="0" w:color="auto"/>
        <w:right w:val="none" w:sz="0" w:space="0" w:color="auto"/>
      </w:divBdr>
    </w:div>
    <w:div w:id="18804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news/el/headlines/priorities/koinonia/20180706STO07413/neoi-kanones-gia-tin-exisorropisi-epaggelmatikis-prosopikis-zo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c.europa.eu/eurostat/web/products-eurostat-news/-/EDN-20200306-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eurostat/statistics-explained/index.php/Gender_pay_gap_statistics" TargetMode="External"/><Relationship Id="rId11" Type="http://schemas.openxmlformats.org/officeDocument/2006/relationships/hyperlink" Target="https://ec.europa.eu/eurostat/statistics-explained/index.php/Gender_statistics" TargetMode="External"/><Relationship Id="rId5" Type="http://schemas.openxmlformats.org/officeDocument/2006/relationships/endnotes" Target="endnotes.xml"/><Relationship Id="rId10" Type="http://schemas.openxmlformats.org/officeDocument/2006/relationships/hyperlink" Target="https://op.europa.eu/el/publication-detail/-/publication/f3dd1274-7788-11e9-9f05-01aa75ed71a1" TargetMode="External"/><Relationship Id="rId4" Type="http://schemas.openxmlformats.org/officeDocument/2006/relationships/footnotes" Target="footnotes.xml"/><Relationship Id="rId9" Type="http://schemas.openxmlformats.org/officeDocument/2006/relationships/hyperlink" Target="https://ec.europa.eu/info/sites/info/files/aid_development_cooperation_fundamental_rights/annual_report_ge_2019_en_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1056</Words>
  <Characters>5704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 Gen</dc:creator>
  <cp:keywords/>
  <dc:description/>
  <cp:lastModifiedBy>Next Gen</cp:lastModifiedBy>
  <cp:revision>6</cp:revision>
  <dcterms:created xsi:type="dcterms:W3CDTF">2021-11-05T09:53:00Z</dcterms:created>
  <dcterms:modified xsi:type="dcterms:W3CDTF">2021-11-06T07:54:00Z</dcterms:modified>
</cp:coreProperties>
</file>