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B9A6" w14:textId="77777777" w:rsidR="008C6FF0" w:rsidRPr="004A59E4" w:rsidRDefault="008C6FF0" w:rsidP="008C6FF0">
      <w:pPr>
        <w:jc w:val="center"/>
        <w:rPr>
          <w:b/>
          <w:sz w:val="32"/>
          <w:szCs w:val="32"/>
          <w:lang w:val="en-GB"/>
        </w:rPr>
      </w:pPr>
      <w:r w:rsidRPr="004A59E4">
        <w:rPr>
          <w:b/>
          <w:sz w:val="32"/>
          <w:szCs w:val="32"/>
          <w:lang w:val="en-GB"/>
        </w:rPr>
        <w:t>CURRICULUM</w:t>
      </w:r>
    </w:p>
    <w:p w14:paraId="704AD61D" w14:textId="77777777" w:rsidR="008C6FF0" w:rsidRPr="004A59E4" w:rsidRDefault="008C6FF0" w:rsidP="008C6FF0">
      <w:pPr>
        <w:rPr>
          <w:lang w:val="en-GB"/>
        </w:rPr>
      </w:pPr>
    </w:p>
    <w:p w14:paraId="02051B50" w14:textId="77777777" w:rsidR="00FE0A86" w:rsidRPr="004A59E4" w:rsidRDefault="008C6FF0" w:rsidP="008C6FF0">
      <w:pPr>
        <w:jc w:val="center"/>
        <w:rPr>
          <w:b/>
          <w:sz w:val="24"/>
          <w:szCs w:val="24"/>
          <w:lang w:val="en-GB"/>
        </w:rPr>
      </w:pPr>
      <w:r w:rsidRPr="004A59E4">
        <w:rPr>
          <w:sz w:val="24"/>
          <w:szCs w:val="24"/>
          <w:lang w:val="en-GB"/>
        </w:rPr>
        <w:t xml:space="preserve">of the discipline: </w:t>
      </w:r>
      <w:r w:rsidRPr="004A59E4">
        <w:rPr>
          <w:b/>
          <w:sz w:val="24"/>
          <w:szCs w:val="24"/>
          <w:lang w:val="en-GB"/>
        </w:rPr>
        <w:t xml:space="preserve">Systems </w:t>
      </w:r>
      <w:r w:rsidR="00FE0A86" w:rsidRPr="004A59E4">
        <w:rPr>
          <w:b/>
          <w:sz w:val="24"/>
          <w:szCs w:val="24"/>
          <w:lang w:val="en-GB"/>
        </w:rPr>
        <w:t xml:space="preserve">for Food </w:t>
      </w:r>
      <w:r w:rsidRPr="004A59E4">
        <w:rPr>
          <w:b/>
          <w:sz w:val="24"/>
          <w:szCs w:val="24"/>
          <w:lang w:val="en-GB"/>
        </w:rPr>
        <w:t xml:space="preserve">Risk Management </w:t>
      </w:r>
    </w:p>
    <w:p w14:paraId="18F57A72" w14:textId="77777777" w:rsidR="008C6FF0" w:rsidRPr="004A59E4" w:rsidRDefault="008C6FF0" w:rsidP="008C6FF0">
      <w:pPr>
        <w:jc w:val="center"/>
        <w:rPr>
          <w:b/>
          <w:sz w:val="24"/>
          <w:szCs w:val="24"/>
          <w:lang w:val="en-GB"/>
        </w:rPr>
      </w:pPr>
      <w:r w:rsidRPr="004A59E4">
        <w:rPr>
          <w:b/>
          <w:sz w:val="24"/>
          <w:szCs w:val="24"/>
          <w:lang w:val="en-GB"/>
        </w:rPr>
        <w:t xml:space="preserve"> </w:t>
      </w:r>
    </w:p>
    <w:p w14:paraId="1C672B9B" w14:textId="77777777" w:rsidR="008C6FF0" w:rsidRPr="004A59E4" w:rsidRDefault="008C6FF0" w:rsidP="008C6FF0">
      <w:pPr>
        <w:rPr>
          <w:lang w:val="en-GB"/>
        </w:rPr>
      </w:pPr>
    </w:p>
    <w:p w14:paraId="3D0088AA" w14:textId="77777777" w:rsidR="008C6FF0" w:rsidRPr="004A59E4" w:rsidRDefault="008C6FF0" w:rsidP="008C6FF0">
      <w:pPr>
        <w:rPr>
          <w:b/>
          <w:lang w:val="en-GB"/>
        </w:rPr>
      </w:pPr>
      <w:r w:rsidRPr="004A59E4">
        <w:rPr>
          <w:b/>
          <w:lang w:val="en-GB"/>
        </w:rPr>
        <w:t>A. SAMPLE OF CURRICULUM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602"/>
        <w:gridCol w:w="1369"/>
        <w:gridCol w:w="1392"/>
        <w:gridCol w:w="1223"/>
        <w:gridCol w:w="1006"/>
        <w:gridCol w:w="1057"/>
      </w:tblGrid>
      <w:tr w:rsidR="008C6FF0" w:rsidRPr="004A59E4" w14:paraId="4F188807" w14:textId="77777777" w:rsidTr="00FE0A86">
        <w:trPr>
          <w:trHeight w:val="675"/>
        </w:trPr>
        <w:tc>
          <w:tcPr>
            <w:tcW w:w="879" w:type="dxa"/>
          </w:tcPr>
          <w:p w14:paraId="5887B3CE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№</w:t>
            </w:r>
          </w:p>
        </w:tc>
        <w:tc>
          <w:tcPr>
            <w:tcW w:w="1602" w:type="dxa"/>
          </w:tcPr>
          <w:p w14:paraId="6909BBB4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Type of occupation</w:t>
            </w:r>
          </w:p>
        </w:tc>
        <w:tc>
          <w:tcPr>
            <w:tcW w:w="1369" w:type="dxa"/>
          </w:tcPr>
          <w:p w14:paraId="3572C860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Semester</w:t>
            </w:r>
          </w:p>
        </w:tc>
        <w:tc>
          <w:tcPr>
            <w:tcW w:w="1392" w:type="dxa"/>
          </w:tcPr>
          <w:p w14:paraId="0F7DD881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Weekly classes</w:t>
            </w:r>
          </w:p>
        </w:tc>
        <w:tc>
          <w:tcPr>
            <w:tcW w:w="1223" w:type="dxa"/>
          </w:tcPr>
          <w:p w14:paraId="69E7873B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Number of weeks</w:t>
            </w:r>
          </w:p>
        </w:tc>
        <w:tc>
          <w:tcPr>
            <w:tcW w:w="1006" w:type="dxa"/>
          </w:tcPr>
          <w:p w14:paraId="723BCF60" w14:textId="77777777" w:rsidR="008C6FF0" w:rsidRPr="004A59E4" w:rsidRDefault="008C6FF0" w:rsidP="00FE0A8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Total number</w:t>
            </w:r>
          </w:p>
        </w:tc>
        <w:tc>
          <w:tcPr>
            <w:tcW w:w="1057" w:type="dxa"/>
          </w:tcPr>
          <w:p w14:paraId="7B8F9A1F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ECTS</w:t>
            </w:r>
          </w:p>
        </w:tc>
      </w:tr>
      <w:tr w:rsidR="008C6FF0" w:rsidRPr="004A59E4" w14:paraId="3018FEB4" w14:textId="77777777" w:rsidTr="00DA5945">
        <w:trPr>
          <w:cantSplit/>
        </w:trPr>
        <w:tc>
          <w:tcPr>
            <w:tcW w:w="8528" w:type="dxa"/>
            <w:gridSpan w:val="7"/>
          </w:tcPr>
          <w:p w14:paraId="7B275C9D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AUDITORY OCUPATION</w:t>
            </w:r>
          </w:p>
        </w:tc>
      </w:tr>
      <w:tr w:rsidR="008C6FF0" w:rsidRPr="004A59E4" w14:paraId="3DB18CDB" w14:textId="77777777" w:rsidTr="00DA5945">
        <w:tc>
          <w:tcPr>
            <w:tcW w:w="879" w:type="dxa"/>
          </w:tcPr>
          <w:p w14:paraId="49F0090B" w14:textId="77777777" w:rsidR="008C6FF0" w:rsidRPr="004A59E4" w:rsidRDefault="008C6FF0" w:rsidP="00FE0A86">
            <w:pPr>
              <w:spacing w:after="0" w:line="240" w:lineRule="auto"/>
              <w:ind w:right="57"/>
              <w:rPr>
                <w:lang w:val="en-GB"/>
              </w:rPr>
            </w:pPr>
            <w:r w:rsidRPr="004A59E4">
              <w:rPr>
                <w:lang w:val="en-GB"/>
              </w:rPr>
              <w:t>1.</w:t>
            </w:r>
          </w:p>
        </w:tc>
        <w:tc>
          <w:tcPr>
            <w:tcW w:w="1602" w:type="dxa"/>
          </w:tcPr>
          <w:p w14:paraId="1897DA0B" w14:textId="77777777" w:rsidR="008C6FF0" w:rsidRPr="004A59E4" w:rsidRDefault="008C6FF0" w:rsidP="00FE0A86">
            <w:pPr>
              <w:spacing w:after="0" w:line="240" w:lineRule="auto"/>
              <w:ind w:right="57"/>
              <w:rPr>
                <w:lang w:val="en-GB"/>
              </w:rPr>
            </w:pPr>
            <w:r w:rsidRPr="004A59E4">
              <w:rPr>
                <w:lang w:val="en-GB"/>
              </w:rPr>
              <w:t>Lectures</w:t>
            </w:r>
          </w:p>
        </w:tc>
        <w:tc>
          <w:tcPr>
            <w:tcW w:w="1369" w:type="dxa"/>
          </w:tcPr>
          <w:p w14:paraId="149492D1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IІІ</w:t>
            </w:r>
          </w:p>
        </w:tc>
        <w:tc>
          <w:tcPr>
            <w:tcW w:w="1392" w:type="dxa"/>
          </w:tcPr>
          <w:p w14:paraId="22D125F5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</w:t>
            </w:r>
          </w:p>
        </w:tc>
        <w:tc>
          <w:tcPr>
            <w:tcW w:w="1223" w:type="dxa"/>
          </w:tcPr>
          <w:p w14:paraId="4CA9ED2A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13</w:t>
            </w:r>
          </w:p>
        </w:tc>
        <w:tc>
          <w:tcPr>
            <w:tcW w:w="1006" w:type="dxa"/>
          </w:tcPr>
          <w:p w14:paraId="2DFC30D6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39</w:t>
            </w:r>
          </w:p>
        </w:tc>
        <w:tc>
          <w:tcPr>
            <w:tcW w:w="1057" w:type="dxa"/>
          </w:tcPr>
          <w:p w14:paraId="3EEA4DA5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6.0</w:t>
            </w:r>
          </w:p>
        </w:tc>
      </w:tr>
      <w:tr w:rsidR="008C6FF0" w:rsidRPr="004A59E4" w14:paraId="4B61F414" w14:textId="77777777" w:rsidTr="00DA5945">
        <w:tc>
          <w:tcPr>
            <w:tcW w:w="879" w:type="dxa"/>
          </w:tcPr>
          <w:p w14:paraId="5F758632" w14:textId="77777777" w:rsidR="008C6FF0" w:rsidRPr="004A59E4" w:rsidRDefault="008C6FF0" w:rsidP="00FE0A86">
            <w:pPr>
              <w:spacing w:after="0" w:line="240" w:lineRule="auto"/>
              <w:ind w:right="57"/>
              <w:rPr>
                <w:lang w:val="en-GB"/>
              </w:rPr>
            </w:pPr>
            <w:r w:rsidRPr="004A59E4">
              <w:rPr>
                <w:lang w:val="en-GB"/>
              </w:rPr>
              <w:t>2.</w:t>
            </w:r>
          </w:p>
        </w:tc>
        <w:tc>
          <w:tcPr>
            <w:tcW w:w="1602" w:type="dxa"/>
          </w:tcPr>
          <w:p w14:paraId="3AAA27CC" w14:textId="77777777" w:rsidR="008C6FF0" w:rsidRPr="004A59E4" w:rsidRDefault="008C6FF0" w:rsidP="00FE0A86">
            <w:pPr>
              <w:spacing w:after="0" w:line="240" w:lineRule="auto"/>
              <w:ind w:right="57"/>
              <w:rPr>
                <w:lang w:val="en-GB"/>
              </w:rPr>
            </w:pPr>
            <w:r w:rsidRPr="004A59E4">
              <w:rPr>
                <w:lang w:val="en-GB"/>
              </w:rPr>
              <w:t>Exam</w:t>
            </w:r>
          </w:p>
        </w:tc>
        <w:tc>
          <w:tcPr>
            <w:tcW w:w="1369" w:type="dxa"/>
          </w:tcPr>
          <w:p w14:paraId="2CC58BB6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IІІ</w:t>
            </w:r>
          </w:p>
        </w:tc>
        <w:tc>
          <w:tcPr>
            <w:tcW w:w="1392" w:type="dxa"/>
          </w:tcPr>
          <w:p w14:paraId="318D8D59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</w:p>
        </w:tc>
        <w:tc>
          <w:tcPr>
            <w:tcW w:w="1223" w:type="dxa"/>
          </w:tcPr>
          <w:p w14:paraId="1E746D12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</w:p>
        </w:tc>
        <w:tc>
          <w:tcPr>
            <w:tcW w:w="1006" w:type="dxa"/>
          </w:tcPr>
          <w:p w14:paraId="738907EE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</w:p>
        </w:tc>
        <w:tc>
          <w:tcPr>
            <w:tcW w:w="1057" w:type="dxa"/>
          </w:tcPr>
          <w:p w14:paraId="6B021EBC" w14:textId="77777777" w:rsidR="008C6FF0" w:rsidRPr="004A59E4" w:rsidRDefault="008C6FF0" w:rsidP="00FE0A86">
            <w:pPr>
              <w:spacing w:after="0" w:line="240" w:lineRule="auto"/>
              <w:ind w:right="57"/>
              <w:jc w:val="center"/>
              <w:rPr>
                <w:lang w:val="en-GB"/>
              </w:rPr>
            </w:pPr>
          </w:p>
        </w:tc>
      </w:tr>
    </w:tbl>
    <w:p w14:paraId="07DD7EC2" w14:textId="77777777" w:rsidR="008C6FF0" w:rsidRPr="004A59E4" w:rsidRDefault="008C6FF0" w:rsidP="008C6FF0">
      <w:pPr>
        <w:rPr>
          <w:lang w:val="en-GB"/>
        </w:rPr>
      </w:pPr>
    </w:p>
    <w:p w14:paraId="575483A2" w14:textId="77777777" w:rsidR="008C6FF0" w:rsidRPr="004A59E4" w:rsidRDefault="008C6FF0" w:rsidP="008C6FF0">
      <w:pPr>
        <w:rPr>
          <w:lang w:val="en-GB"/>
        </w:rPr>
      </w:pPr>
      <w:r w:rsidRPr="004A59E4">
        <w:rPr>
          <w:lang w:val="en-GB"/>
        </w:rPr>
        <w:t xml:space="preserve">Speaker: </w:t>
      </w:r>
      <w:r w:rsidR="00FE0A86" w:rsidRPr="004A59E4">
        <w:rPr>
          <w:lang w:val="en-GB"/>
        </w:rPr>
        <w:t>P</w:t>
      </w:r>
      <w:r w:rsidRPr="004A59E4">
        <w:rPr>
          <w:lang w:val="en-GB"/>
        </w:rPr>
        <w:t xml:space="preserve">rof. Stefan Dragoev, </w:t>
      </w:r>
      <w:r w:rsidR="00FE0A86" w:rsidRPr="004A59E4">
        <w:rPr>
          <w:lang w:val="en-GB"/>
        </w:rPr>
        <w:t>Corresponding Member of Bulgarian Academy of Sciences</w:t>
      </w:r>
      <w:r w:rsidR="002E0270" w:rsidRPr="004A59E4">
        <w:rPr>
          <w:lang w:val="en-GB"/>
        </w:rPr>
        <w:t xml:space="preserve">, </w:t>
      </w:r>
      <w:r w:rsidRPr="004A59E4">
        <w:rPr>
          <w:lang w:val="en-GB"/>
        </w:rPr>
        <w:t xml:space="preserve">Department of </w:t>
      </w:r>
      <w:r w:rsidR="00FE0A86" w:rsidRPr="004A59E4">
        <w:rPr>
          <w:lang w:val="en-GB"/>
        </w:rPr>
        <w:t xml:space="preserve">Meat and Fish </w:t>
      </w:r>
      <w:r w:rsidRPr="004A59E4">
        <w:rPr>
          <w:lang w:val="en-GB"/>
        </w:rPr>
        <w:t xml:space="preserve">Technology </w:t>
      </w:r>
    </w:p>
    <w:p w14:paraId="604ACFAA" w14:textId="77777777" w:rsidR="002E0270" w:rsidRPr="004A59E4" w:rsidRDefault="002E0270" w:rsidP="008C6FF0">
      <w:pPr>
        <w:rPr>
          <w:lang w:val="en-GB"/>
        </w:rPr>
      </w:pPr>
    </w:p>
    <w:p w14:paraId="310DA997" w14:textId="77777777" w:rsidR="008C6FF0" w:rsidRPr="004A59E4" w:rsidRDefault="008C6FF0" w:rsidP="008C6FF0">
      <w:pPr>
        <w:rPr>
          <w:b/>
          <w:sz w:val="24"/>
          <w:szCs w:val="24"/>
          <w:lang w:val="en-GB"/>
        </w:rPr>
      </w:pPr>
      <w:r w:rsidRPr="004A59E4">
        <w:rPr>
          <w:b/>
          <w:sz w:val="24"/>
          <w:szCs w:val="24"/>
          <w:lang w:val="en-GB"/>
        </w:rPr>
        <w:t>B. ANOTATION</w:t>
      </w:r>
    </w:p>
    <w:p w14:paraId="3FB8D8E7" w14:textId="0AC5D8DB" w:rsidR="008C34A9" w:rsidRPr="004A59E4" w:rsidRDefault="008C34A9" w:rsidP="008C34A9">
      <w:pPr>
        <w:rPr>
          <w:lang w:val="en-GB"/>
        </w:rPr>
      </w:pPr>
      <w:r w:rsidRPr="004A59E4">
        <w:rPr>
          <w:lang w:val="en-GB"/>
        </w:rPr>
        <w:t xml:space="preserve">Course </w:t>
      </w:r>
      <w:r>
        <w:rPr>
          <w:lang w:val="en-GB"/>
        </w:rPr>
        <w:t xml:space="preserve">entitled </w:t>
      </w:r>
      <w:r w:rsidRPr="004A59E4">
        <w:rPr>
          <w:b/>
          <w:lang w:val="en-GB"/>
        </w:rPr>
        <w:t>Systems for Food Risk Management</w:t>
      </w:r>
      <w:r w:rsidRPr="004A59E4">
        <w:rPr>
          <w:lang w:val="en-GB"/>
        </w:rPr>
        <w:t xml:space="preserve"> is designed to develop and build in </w:t>
      </w:r>
      <w:r w:rsidR="00E40AB6" w:rsidRPr="004A59E4">
        <w:rPr>
          <w:lang w:val="en-GB"/>
        </w:rPr>
        <w:t>Master’s</w:t>
      </w:r>
      <w:r w:rsidRPr="004A59E4">
        <w:rPr>
          <w:lang w:val="en-GB"/>
        </w:rPr>
        <w:t xml:space="preserve"> Degree students of </w:t>
      </w:r>
      <w:r>
        <w:rPr>
          <w:b/>
          <w:lang w:val="en-GB"/>
        </w:rPr>
        <w:t>Quality</w:t>
      </w:r>
      <w:r w:rsidRPr="004A59E4">
        <w:rPr>
          <w:b/>
          <w:lang w:val="en-GB"/>
        </w:rPr>
        <w:t xml:space="preserve"> Food</w:t>
      </w:r>
      <w:r w:rsidRPr="004A59E4">
        <w:rPr>
          <w:lang w:val="en-GB"/>
        </w:rPr>
        <w:t xml:space="preserve"> </w:t>
      </w:r>
      <w:r w:rsidRPr="004A59E4">
        <w:rPr>
          <w:b/>
          <w:lang w:val="en-GB"/>
        </w:rPr>
        <w:t xml:space="preserve">Control </w:t>
      </w:r>
      <w:r w:rsidRPr="004A59E4">
        <w:rPr>
          <w:lang w:val="en-GB"/>
        </w:rPr>
        <w:t>knowledge on the management of food safety. Students will learn about managing the risk of occurrence of food hazards out in ISO 22000: 20</w:t>
      </w:r>
      <w:r>
        <w:rPr>
          <w:lang w:val="en-GB"/>
        </w:rPr>
        <w:t>18</w:t>
      </w:r>
      <w:r w:rsidRPr="004A59E4">
        <w:rPr>
          <w:lang w:val="en-GB"/>
        </w:rPr>
        <w:t xml:space="preserve"> in the HACCP principles in the control of food hygiene regulated by the Commission in Codex Alimentarius. They will gain knowledge of good manufacturing practices (GMP-s) based on these principles. This course is structured in four sections. In the first one the students will be introduced to the international standard for food safety management ISO 22000: 20</w:t>
      </w:r>
      <w:r>
        <w:rPr>
          <w:lang w:val="en-GB"/>
        </w:rPr>
        <w:t>18</w:t>
      </w:r>
      <w:r w:rsidRPr="004A59E4">
        <w:rPr>
          <w:lang w:val="en-GB"/>
        </w:rPr>
        <w:t xml:space="preserve"> and its application in practice, alone or in integration with other standards such as </w:t>
      </w:r>
      <w:r w:rsidRPr="00DB72C7">
        <w:rPr>
          <w:lang w:val="en-GB"/>
        </w:rPr>
        <w:t xml:space="preserve">ISO 9001:2015, ISO 14001: 2015, ISO 45001:2018 and </w:t>
      </w:r>
      <w:r w:rsidRPr="004A59E4">
        <w:rPr>
          <w:lang w:val="en-GB"/>
        </w:rPr>
        <w:t>so on. The second section discusses the principles and structure of the HACCP system. The third section is dedicated to the structuring of GMP-s documents based on statutory principles Commission of the Codex Alimentarius to the control o</w:t>
      </w:r>
      <w:r w:rsidR="00E40AB6">
        <w:rPr>
          <w:lang w:val="en-GB"/>
        </w:rPr>
        <w:t>f</w:t>
      </w:r>
      <w:r w:rsidRPr="004A59E4">
        <w:rPr>
          <w:lang w:val="en-GB"/>
        </w:rPr>
        <w:t xml:space="preserve"> food hygiene. The fourth section is devoted to an audit by scientific method of risk management in food. Based on the acquired in-depth theoretical knowledge, students will expand their professional training in their specialty and will enrich their practical skills related to management of the food hazards and risks.</w:t>
      </w:r>
    </w:p>
    <w:p w14:paraId="696C5AF1" w14:textId="77777777" w:rsidR="008C6FF0" w:rsidRPr="004A59E4" w:rsidRDefault="008C6FF0" w:rsidP="008C6FF0">
      <w:pPr>
        <w:rPr>
          <w:lang w:val="en-GB"/>
        </w:rPr>
      </w:pPr>
      <w:r w:rsidRPr="004A59E4">
        <w:rPr>
          <w:b/>
          <w:lang w:val="en-GB"/>
        </w:rPr>
        <w:t>Technology</w:t>
      </w:r>
      <w:r w:rsidR="002E0270" w:rsidRPr="004A59E4">
        <w:rPr>
          <w:b/>
          <w:lang w:val="en-GB"/>
        </w:rPr>
        <w:t xml:space="preserve"> of education</w:t>
      </w:r>
      <w:r w:rsidRPr="004A59E4">
        <w:rPr>
          <w:b/>
          <w:lang w:val="en-GB"/>
        </w:rPr>
        <w:t>:</w:t>
      </w:r>
      <w:r w:rsidRPr="004A59E4">
        <w:rPr>
          <w:lang w:val="en-GB"/>
        </w:rPr>
        <w:t xml:space="preserve"> Lectures are illustrated with audiovisual equipment (presentation by Power Point</w:t>
      </w:r>
      <w:r w:rsidR="002E0270" w:rsidRPr="004A59E4">
        <w:rPr>
          <w:lang w:val="en-GB"/>
        </w:rPr>
        <w:t xml:space="preserve"> Media)</w:t>
      </w:r>
      <w:r w:rsidRPr="004A59E4">
        <w:rPr>
          <w:lang w:val="en-GB"/>
        </w:rPr>
        <w:t xml:space="preserve"> and others. During the semester students' knowledge </w:t>
      </w:r>
      <w:r w:rsidR="002E0270" w:rsidRPr="004A59E4">
        <w:rPr>
          <w:lang w:val="en-GB"/>
        </w:rPr>
        <w:t>will be</w:t>
      </w:r>
      <w:r w:rsidRPr="004A59E4">
        <w:rPr>
          <w:lang w:val="en-GB"/>
        </w:rPr>
        <w:t xml:space="preserve"> assessed through coursework - preparing HACCP plan for the production of selected </w:t>
      </w:r>
      <w:r w:rsidR="002E0270" w:rsidRPr="004A59E4">
        <w:rPr>
          <w:lang w:val="en-GB"/>
        </w:rPr>
        <w:t xml:space="preserve">from </w:t>
      </w:r>
      <w:r w:rsidRPr="004A59E4">
        <w:rPr>
          <w:lang w:val="en-GB"/>
        </w:rPr>
        <w:t>students a particular food product.</w:t>
      </w:r>
    </w:p>
    <w:p w14:paraId="7CE9B347" w14:textId="77777777" w:rsidR="004D2F11" w:rsidRPr="004A59E4" w:rsidRDefault="008C6FF0" w:rsidP="008C6FF0">
      <w:pPr>
        <w:rPr>
          <w:lang w:val="en-GB"/>
        </w:rPr>
      </w:pPr>
      <w:r w:rsidRPr="004A59E4">
        <w:rPr>
          <w:b/>
          <w:lang w:val="en-GB"/>
        </w:rPr>
        <w:t xml:space="preserve">Language of </w:t>
      </w:r>
      <w:r w:rsidR="002E0270" w:rsidRPr="004A59E4">
        <w:rPr>
          <w:b/>
          <w:lang w:val="en-GB"/>
        </w:rPr>
        <w:t>the course:</w:t>
      </w:r>
      <w:r w:rsidRPr="004A59E4">
        <w:rPr>
          <w:b/>
          <w:lang w:val="en-GB"/>
        </w:rPr>
        <w:t xml:space="preserve"> </w:t>
      </w:r>
      <w:r w:rsidRPr="004A59E4">
        <w:rPr>
          <w:lang w:val="en-GB"/>
        </w:rPr>
        <w:t>English</w:t>
      </w:r>
    </w:p>
    <w:p w14:paraId="2C8FA1EE" w14:textId="77777777" w:rsidR="002E0270" w:rsidRPr="004A59E4" w:rsidRDefault="002E0270" w:rsidP="002E0270">
      <w:pPr>
        <w:ind w:right="-1186" w:firstLine="709"/>
        <w:rPr>
          <w:lang w:val="en-GB"/>
        </w:rPr>
      </w:pPr>
    </w:p>
    <w:p w14:paraId="1D43FA1C" w14:textId="77777777" w:rsidR="002E0270" w:rsidRPr="004A59E4" w:rsidRDefault="002E0270" w:rsidP="002E0270">
      <w:pPr>
        <w:ind w:right="-1186" w:firstLine="709"/>
        <w:rPr>
          <w:b/>
          <w:caps/>
          <w:sz w:val="24"/>
          <w:szCs w:val="24"/>
          <w:lang w:val="en-GB"/>
        </w:rPr>
      </w:pPr>
      <w:r w:rsidRPr="004A59E4">
        <w:rPr>
          <w:b/>
          <w:sz w:val="24"/>
          <w:szCs w:val="24"/>
          <w:lang w:val="en-GB"/>
        </w:rPr>
        <w:lastRenderedPageBreak/>
        <w:t xml:space="preserve">C. </w:t>
      </w:r>
      <w:r w:rsidRPr="004A59E4">
        <w:rPr>
          <w:b/>
          <w:caps/>
          <w:sz w:val="24"/>
          <w:szCs w:val="24"/>
          <w:lang w:val="en-GB"/>
        </w:rPr>
        <w:t>teaching content</w:t>
      </w:r>
    </w:p>
    <w:p w14:paraId="53DEC50F" w14:textId="77777777" w:rsidR="002E0270" w:rsidRPr="004A59E4" w:rsidRDefault="002E0270" w:rsidP="002E0270">
      <w:pPr>
        <w:ind w:right="-1186" w:firstLine="709"/>
        <w:rPr>
          <w:b/>
          <w:caps/>
          <w:lang w:val="en-GB"/>
        </w:rPr>
      </w:pPr>
    </w:p>
    <w:p w14:paraId="243AB5D4" w14:textId="77777777" w:rsidR="002E0270" w:rsidRPr="004A59E4" w:rsidRDefault="002E0270" w:rsidP="002E0270">
      <w:pPr>
        <w:ind w:firstLine="720"/>
        <w:rPr>
          <w:sz w:val="24"/>
          <w:szCs w:val="24"/>
          <w:lang w:val="en-GB"/>
        </w:rPr>
      </w:pPr>
      <w:r w:rsidRPr="004A59E4">
        <w:rPr>
          <w:sz w:val="24"/>
          <w:szCs w:val="24"/>
          <w:lang w:val="en-GB"/>
        </w:rPr>
        <w:t>C.1. L</w:t>
      </w:r>
      <w:r w:rsidR="003321E1" w:rsidRPr="004A59E4">
        <w:rPr>
          <w:sz w:val="24"/>
          <w:szCs w:val="24"/>
          <w:lang w:val="en-GB"/>
        </w:rPr>
        <w:t>ectures</w:t>
      </w:r>
    </w:p>
    <w:tbl>
      <w:tblPr>
        <w:tblW w:w="9606" w:type="dxa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993"/>
      </w:tblGrid>
      <w:tr w:rsidR="002E0270" w:rsidRPr="004A59E4" w14:paraId="4C6A1B5A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E56A3" w14:textId="77777777" w:rsidR="002E0270" w:rsidRPr="004A59E4" w:rsidRDefault="002E0270" w:rsidP="002E0270">
            <w:pPr>
              <w:spacing w:after="0" w:line="240" w:lineRule="auto"/>
              <w:ind w:left="-142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Theme</w:t>
            </w:r>
          </w:p>
          <w:p w14:paraId="6D2E9623" w14:textId="77777777" w:rsidR="002E0270" w:rsidRPr="004A59E4" w:rsidRDefault="002E0270" w:rsidP="002E0270">
            <w:pPr>
              <w:spacing w:after="0" w:line="240" w:lineRule="auto"/>
              <w:ind w:left="-142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№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429E59" w14:textId="77777777" w:rsidR="002E0270" w:rsidRPr="004A59E4" w:rsidRDefault="002E0270" w:rsidP="002E0270">
            <w:pPr>
              <w:spacing w:after="0" w:line="240" w:lineRule="auto"/>
              <w:ind w:left="-108" w:right="-108"/>
              <w:rPr>
                <w:lang w:val="en-GB"/>
              </w:rPr>
            </w:pPr>
            <w:r w:rsidRPr="004A59E4">
              <w:rPr>
                <w:lang w:val="en-GB"/>
              </w:rPr>
              <w:t xml:space="preserve">   Chapters/ Topics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</w:tcPr>
          <w:p w14:paraId="29C189E2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Classes,</w:t>
            </w:r>
          </w:p>
          <w:p w14:paraId="00D37CDF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 xml:space="preserve">h </w:t>
            </w:r>
          </w:p>
        </w:tc>
      </w:tr>
      <w:tr w:rsidR="002E0270" w:rsidRPr="004A59E4" w14:paraId="0DF93B4D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2936" w14:textId="77777777" w:rsidR="002E0270" w:rsidRPr="004A59E4" w:rsidRDefault="002E0270" w:rsidP="002E0270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4A59E4">
              <w:rPr>
                <w:sz w:val="26"/>
                <w:szCs w:val="26"/>
                <w:lang w:val="en-GB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41AF91" w14:textId="38F80261" w:rsidR="002E0270" w:rsidRPr="004A59E4" w:rsidRDefault="002E0270" w:rsidP="002E0270">
            <w:pPr>
              <w:spacing w:after="0" w:line="240" w:lineRule="auto"/>
              <w:ind w:left="34" w:right="-108"/>
              <w:rPr>
                <w:b/>
                <w:sz w:val="26"/>
                <w:szCs w:val="26"/>
                <w:lang w:val="en-GB"/>
              </w:rPr>
            </w:pPr>
            <w:r w:rsidRPr="004A59E4">
              <w:rPr>
                <w:b/>
                <w:sz w:val="26"/>
                <w:szCs w:val="26"/>
                <w:lang w:val="en-GB"/>
              </w:rPr>
              <w:t>Requirements of ISO 22000: 20</w:t>
            </w:r>
            <w:r w:rsidR="00DB72C7">
              <w:rPr>
                <w:b/>
                <w:sz w:val="26"/>
                <w:szCs w:val="26"/>
                <w:lang w:val="en-GB"/>
              </w:rPr>
              <w:t>18</w:t>
            </w:r>
            <w:r w:rsidRPr="004A59E4">
              <w:rPr>
                <w:b/>
                <w:sz w:val="26"/>
                <w:szCs w:val="26"/>
                <w:lang w:val="en-GB"/>
              </w:rPr>
              <w:t xml:space="preserve"> for food safety management systems in organizations inv</w:t>
            </w:r>
            <w:r w:rsidR="00DB72C7">
              <w:rPr>
                <w:b/>
                <w:sz w:val="26"/>
                <w:szCs w:val="26"/>
                <w:lang w:val="en-GB"/>
              </w:rPr>
              <w:t>ol</w:t>
            </w:r>
            <w:r w:rsidRPr="004A59E4">
              <w:rPr>
                <w:b/>
                <w:sz w:val="26"/>
                <w:szCs w:val="26"/>
                <w:lang w:val="en-GB"/>
              </w:rPr>
              <w:t>ved in the food chain</w:t>
            </w:r>
          </w:p>
        </w:tc>
      </w:tr>
      <w:tr w:rsidR="002E0270" w:rsidRPr="004A59E4" w14:paraId="4F377995" w14:textId="77777777" w:rsidTr="00DA5945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A27C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1.1.</w:t>
            </w:r>
          </w:p>
          <w:p w14:paraId="08BA3AA7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68D6B5" w14:textId="462A4D1D" w:rsidR="002E0270" w:rsidRPr="004A59E4" w:rsidRDefault="002E0270" w:rsidP="002E0270">
            <w:pPr>
              <w:spacing w:after="0" w:line="240" w:lineRule="auto"/>
              <w:ind w:left="34" w:hanging="34"/>
              <w:rPr>
                <w:rFonts w:cstheme="minorHAnsi"/>
                <w:lang w:val="en-GB"/>
              </w:rPr>
            </w:pPr>
            <w:r w:rsidRPr="004A59E4">
              <w:rPr>
                <w:rFonts w:cstheme="minorHAnsi"/>
                <w:lang w:val="en-GB"/>
              </w:rPr>
              <w:t>Areas of application of ISO 22000:20</w:t>
            </w:r>
            <w:r w:rsidR="00DB72C7">
              <w:rPr>
                <w:rFonts w:cstheme="minorHAnsi"/>
                <w:lang w:val="en-GB"/>
              </w:rPr>
              <w:t>18</w:t>
            </w:r>
            <w:r w:rsidRPr="004A59E4">
              <w:rPr>
                <w:rFonts w:cstheme="minorHAnsi"/>
                <w:lang w:val="en-GB"/>
              </w:rPr>
              <w:t>. Terms and definitions applicable in the food safety management systems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</w:tcBorders>
          </w:tcPr>
          <w:p w14:paraId="3001C6E1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</w:t>
            </w:r>
          </w:p>
        </w:tc>
      </w:tr>
      <w:tr w:rsidR="002E0270" w:rsidRPr="004A59E4" w14:paraId="2B34B502" w14:textId="77777777" w:rsidTr="00DA5945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CC9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2E4D4" w14:textId="57735BDA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rFonts w:cstheme="minorHAnsi"/>
                <w:lang w:val="en-GB"/>
              </w:rPr>
            </w:pPr>
            <w:r w:rsidRPr="004A59E4">
              <w:rPr>
                <w:rFonts w:cstheme="minorHAnsi"/>
                <w:lang w:val="en-GB"/>
              </w:rPr>
              <w:t>Basic requirements of ISO 22000: 20</w:t>
            </w:r>
            <w:r w:rsidR="00DB72C7">
              <w:rPr>
                <w:rFonts w:cstheme="minorHAnsi"/>
                <w:lang w:val="en-GB"/>
              </w:rPr>
              <w:t>18</w:t>
            </w:r>
            <w:r w:rsidRPr="004A59E4">
              <w:rPr>
                <w:rFonts w:cstheme="minorHAnsi"/>
                <w:lang w:val="en-GB"/>
              </w:rPr>
              <w:t xml:space="preserve"> management system of food safety and requirements documents and records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</w:tcBorders>
          </w:tcPr>
          <w:p w14:paraId="4D114945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3D0310AD" w14:textId="77777777" w:rsidTr="00DA5945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D882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4EB158" w14:textId="77777777" w:rsidR="002E0270" w:rsidRPr="004A59E4" w:rsidRDefault="002E0270" w:rsidP="002E0270">
            <w:pPr>
              <w:spacing w:after="0" w:line="240" w:lineRule="auto"/>
              <w:ind w:left="34" w:hanging="34"/>
              <w:rPr>
                <w:rFonts w:cstheme="minorHAnsi"/>
                <w:lang w:val="en-GB"/>
              </w:rPr>
            </w:pPr>
            <w:r w:rsidRPr="004A59E4">
              <w:rPr>
                <w:rFonts w:cstheme="minorHAnsi"/>
                <w:lang w:val="en-GB"/>
              </w:rPr>
              <w:t xml:space="preserve">Management responsibilities associated with the maintenance and operation of the food safety management system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</w:tcBorders>
          </w:tcPr>
          <w:p w14:paraId="02F646B4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036B2232" w14:textId="77777777" w:rsidTr="00DA5945">
        <w:trPr>
          <w:trHeight w:val="372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399E9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54610D" w14:textId="77777777" w:rsidR="002E0270" w:rsidRPr="004A59E4" w:rsidRDefault="002E0270" w:rsidP="002E0270">
            <w:pPr>
              <w:spacing w:after="0" w:line="240" w:lineRule="auto"/>
              <w:ind w:left="34" w:hanging="34"/>
              <w:rPr>
                <w:rFonts w:cstheme="minorHAnsi"/>
                <w:lang w:val="en-GB"/>
              </w:rPr>
            </w:pPr>
            <w:r w:rsidRPr="004A59E4">
              <w:rPr>
                <w:rFonts w:cstheme="minorHAnsi"/>
                <w:lang w:val="en-GB"/>
              </w:rPr>
              <w:t>Resource management related to maintenance and operation of the food safety management system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41C0EA8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</w:t>
            </w:r>
          </w:p>
        </w:tc>
      </w:tr>
      <w:tr w:rsidR="002E0270" w:rsidRPr="004A59E4" w14:paraId="4D6054F4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B7F80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1.5.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273934" w14:textId="77777777" w:rsidR="002E0270" w:rsidRPr="004A59E4" w:rsidRDefault="002E0270" w:rsidP="002E0270">
            <w:pPr>
              <w:spacing w:after="0" w:line="240" w:lineRule="auto"/>
              <w:ind w:left="34" w:hanging="34"/>
              <w:rPr>
                <w:rFonts w:cstheme="minorHAnsi"/>
                <w:lang w:val="en-GB"/>
              </w:rPr>
            </w:pPr>
            <w:r w:rsidRPr="004A59E4">
              <w:rPr>
                <w:rFonts w:cstheme="minorHAnsi"/>
                <w:lang w:val="en-GB"/>
              </w:rPr>
              <w:t>Planning and realization of safe food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</w:tcPr>
          <w:p w14:paraId="3FCA425A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</w:t>
            </w:r>
          </w:p>
        </w:tc>
      </w:tr>
      <w:tr w:rsidR="002E0270" w:rsidRPr="004A59E4" w14:paraId="410ED051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801D1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1.6.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F5A54FD" w14:textId="77777777" w:rsidR="002E0270" w:rsidRPr="004A59E4" w:rsidRDefault="002E0270" w:rsidP="002E0270">
            <w:pPr>
              <w:pStyle w:val="FR2"/>
              <w:spacing w:before="0" w:line="240" w:lineRule="auto"/>
              <w:ind w:left="34" w:righ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4A59E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Validation, verification and improvement of food safety management system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</w:tcPr>
          <w:p w14:paraId="277B523E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6DCDEA1B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5A8B50" w14:textId="77777777" w:rsidR="002E0270" w:rsidRPr="004A59E4" w:rsidRDefault="002E0270" w:rsidP="002E0270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4A59E4">
              <w:rPr>
                <w:sz w:val="26"/>
                <w:szCs w:val="26"/>
                <w:lang w:val="en-GB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5C9F7EBC" w14:textId="77777777" w:rsidR="002E0270" w:rsidRPr="004A59E4" w:rsidRDefault="002E0270" w:rsidP="002E0270">
            <w:pPr>
              <w:spacing w:after="0" w:line="240" w:lineRule="auto"/>
              <w:ind w:left="34" w:right="-108"/>
              <w:rPr>
                <w:b/>
                <w:sz w:val="26"/>
                <w:szCs w:val="26"/>
                <w:lang w:val="en-GB"/>
              </w:rPr>
            </w:pPr>
            <w:r w:rsidRPr="004A59E4">
              <w:rPr>
                <w:b/>
                <w:sz w:val="26"/>
                <w:szCs w:val="26"/>
                <w:lang w:val="en-GB"/>
              </w:rPr>
              <w:t>HACCP - a mandatory system for food safety in the EU</w:t>
            </w:r>
          </w:p>
        </w:tc>
      </w:tr>
      <w:tr w:rsidR="002E0270" w:rsidRPr="004A59E4" w14:paraId="283763A7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9AF8A9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2.1.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421FC5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lang w:val="en-GB"/>
              </w:rPr>
            </w:pPr>
            <w:r w:rsidRPr="004A59E4">
              <w:rPr>
                <w:lang w:val="en-GB"/>
              </w:rPr>
              <w:t>History of HACCP. Basic concepts and principles.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</w:tcPr>
          <w:p w14:paraId="4EC9A122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5D341DBF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F6D063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2.2.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A5542F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lang w:val="en-GB"/>
              </w:rPr>
            </w:pPr>
            <w:r w:rsidRPr="004A59E4">
              <w:rPr>
                <w:lang w:val="en-GB"/>
              </w:rPr>
              <w:t>Structure of the HACCP system. HACCP manual and HACCP plans.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</w:tcPr>
          <w:p w14:paraId="639B7067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3646105B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0BAB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2.3.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DA6C72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lang w:val="en-GB"/>
              </w:rPr>
            </w:pPr>
            <w:r w:rsidRPr="004A59E4">
              <w:rPr>
                <w:lang w:val="en-GB"/>
              </w:rPr>
              <w:t>Operational prerequisite programs and CCP records.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27F3CA4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0A3D4394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E566A" w14:textId="77777777" w:rsidR="002E0270" w:rsidRPr="004A59E4" w:rsidRDefault="002E0270" w:rsidP="002E0270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4A59E4">
              <w:rPr>
                <w:sz w:val="26"/>
                <w:szCs w:val="26"/>
                <w:lang w:val="en-GB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A75F4CE" w14:textId="77777777" w:rsidR="002E0270" w:rsidRPr="004A59E4" w:rsidRDefault="002E0270" w:rsidP="002E0270">
            <w:pPr>
              <w:spacing w:after="0" w:line="240" w:lineRule="auto"/>
              <w:ind w:right="-108"/>
              <w:rPr>
                <w:b/>
                <w:sz w:val="26"/>
                <w:szCs w:val="26"/>
                <w:lang w:val="en-GB"/>
              </w:rPr>
            </w:pPr>
            <w:r w:rsidRPr="004A59E4">
              <w:rPr>
                <w:b/>
                <w:sz w:val="26"/>
                <w:szCs w:val="26"/>
                <w:lang w:val="en-GB"/>
              </w:rPr>
              <w:t>Good manufacturing and hygiene practices based on the principles of food hygiene of the Codex Alimentarius - the basis for the production and sale of safe food</w:t>
            </w:r>
          </w:p>
        </w:tc>
      </w:tr>
      <w:tr w:rsidR="002E0270" w:rsidRPr="004A59E4" w14:paraId="24627E11" w14:textId="77777777" w:rsidTr="00DA5945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635D7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55C7855" w14:textId="77777777" w:rsidR="002E0270" w:rsidRPr="004A59E4" w:rsidRDefault="002E0270" w:rsidP="002E0270">
            <w:pPr>
              <w:spacing w:after="0" w:line="240" w:lineRule="auto"/>
              <w:ind w:left="34" w:hanging="34"/>
              <w:rPr>
                <w:lang w:val="en-GB"/>
              </w:rPr>
            </w:pPr>
            <w:r w:rsidRPr="004A59E4">
              <w:rPr>
                <w:lang w:val="en-GB"/>
              </w:rPr>
              <w:t>Structure of GMP. The first principle of food hygiene by Codex Alimentarius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14:paraId="27813F34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0.5</w:t>
            </w:r>
          </w:p>
        </w:tc>
      </w:tr>
      <w:tr w:rsidR="002E0270" w:rsidRPr="004A59E4" w14:paraId="7F34D4D6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1349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3.2.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6FD1CD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lang w:val="en-GB"/>
              </w:rPr>
            </w:pPr>
            <w:r w:rsidRPr="004A59E4">
              <w:rPr>
                <w:lang w:val="en-GB"/>
              </w:rPr>
              <w:t xml:space="preserve">Second principle of food hygiene by Codex Alimentarius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</w:tcPr>
          <w:p w14:paraId="7FD09018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0.5</w:t>
            </w:r>
          </w:p>
        </w:tc>
      </w:tr>
      <w:tr w:rsidR="002E0270" w:rsidRPr="004A59E4" w14:paraId="78EEAE92" w14:textId="77777777" w:rsidTr="00DA5945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A24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B5AF6B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lang w:val="en-GB"/>
              </w:rPr>
            </w:pPr>
            <w:r w:rsidRPr="004A59E4">
              <w:rPr>
                <w:lang w:val="en-GB"/>
              </w:rPr>
              <w:t xml:space="preserve">Third principle of food hygiene by Codex Alimentarius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177BA2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4.5</w:t>
            </w:r>
          </w:p>
        </w:tc>
      </w:tr>
      <w:tr w:rsidR="002E0270" w:rsidRPr="004A59E4" w14:paraId="65CB1BF9" w14:textId="77777777" w:rsidTr="00DA594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C0422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27782D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color w:val="FF0000"/>
                <w:lang w:val="en-GB"/>
              </w:rPr>
            </w:pPr>
            <w:r w:rsidRPr="004A59E4">
              <w:rPr>
                <w:lang w:val="en-GB"/>
              </w:rPr>
              <w:t>Fourth principle of food hygiene by Codex Alimentarius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E3A1883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1.5</w:t>
            </w:r>
          </w:p>
        </w:tc>
      </w:tr>
      <w:tr w:rsidR="002E0270" w:rsidRPr="004A59E4" w14:paraId="57033B15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FD1D1D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3.5.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52AC76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color w:val="FF0000"/>
                <w:lang w:val="en-GB"/>
              </w:rPr>
            </w:pPr>
            <w:r w:rsidRPr="004A59E4">
              <w:rPr>
                <w:lang w:val="en-GB"/>
              </w:rPr>
              <w:t>Fifth principle of food hygiene by Codex Alimentarius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</w:tcPr>
          <w:p w14:paraId="16AF1D49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0.5</w:t>
            </w:r>
          </w:p>
        </w:tc>
      </w:tr>
      <w:tr w:rsidR="002E0270" w:rsidRPr="004A59E4" w14:paraId="5684CD40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6BFF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3.6.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1E789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color w:val="FF0000"/>
                <w:lang w:val="en-GB"/>
              </w:rPr>
            </w:pPr>
            <w:r w:rsidRPr="004A59E4">
              <w:rPr>
                <w:lang w:val="en-GB"/>
              </w:rPr>
              <w:t>Sixth principle of food hygiene by Codex Alimentarius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A9C3AB3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0.5</w:t>
            </w:r>
          </w:p>
        </w:tc>
      </w:tr>
      <w:tr w:rsidR="002E0270" w:rsidRPr="004A59E4" w14:paraId="422D4AFD" w14:textId="77777777" w:rsidTr="00DA594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30391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6C9A0F" w14:textId="77777777" w:rsidR="002E0270" w:rsidRPr="004A59E4" w:rsidRDefault="002E0270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color w:val="FF0000"/>
                <w:lang w:val="en-GB"/>
              </w:rPr>
            </w:pPr>
            <w:r w:rsidRPr="004A59E4">
              <w:rPr>
                <w:lang w:val="en-GB"/>
              </w:rPr>
              <w:t>Seventh principle of food hygiene by Codex Alimentarius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C5EF6C2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0.5</w:t>
            </w:r>
          </w:p>
        </w:tc>
      </w:tr>
      <w:tr w:rsidR="002E0270" w:rsidRPr="004A59E4" w14:paraId="267C2426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B5EF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3.8.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A6C7D" w14:textId="27911E4D" w:rsidR="002E0270" w:rsidRPr="004A59E4" w:rsidRDefault="00A07E51" w:rsidP="002E0270">
            <w:pPr>
              <w:tabs>
                <w:tab w:val="left" w:pos="-108"/>
              </w:tabs>
              <w:spacing w:after="0" w:line="240" w:lineRule="auto"/>
              <w:ind w:left="34"/>
              <w:rPr>
                <w:color w:val="FF0000"/>
                <w:lang w:val="en-GB"/>
              </w:rPr>
            </w:pPr>
            <w:r w:rsidRPr="004A59E4">
              <w:rPr>
                <w:lang w:val="en-GB"/>
              </w:rPr>
              <w:t>Eighth</w:t>
            </w:r>
            <w:r w:rsidR="002E0270" w:rsidRPr="004A59E4">
              <w:rPr>
                <w:lang w:val="en-GB"/>
              </w:rPr>
              <w:t xml:space="preserve"> principle of food hygiene by Codex Alimentarius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90C902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0.5</w:t>
            </w:r>
          </w:p>
        </w:tc>
      </w:tr>
      <w:tr w:rsidR="002E0270" w:rsidRPr="004A59E4" w14:paraId="06A3595D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39828" w14:textId="77777777" w:rsidR="002E0270" w:rsidRPr="004A59E4" w:rsidRDefault="002E0270" w:rsidP="002E0270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4A59E4">
              <w:rPr>
                <w:b/>
                <w:sz w:val="26"/>
                <w:szCs w:val="26"/>
                <w:lang w:val="en-GB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A70DB8B" w14:textId="541EC5C4" w:rsidR="002E0270" w:rsidRPr="004A59E4" w:rsidRDefault="002E0270" w:rsidP="002E0270">
            <w:pPr>
              <w:spacing w:after="0" w:line="240" w:lineRule="auto"/>
              <w:ind w:right="-108"/>
              <w:rPr>
                <w:b/>
                <w:bCs/>
                <w:sz w:val="26"/>
                <w:szCs w:val="26"/>
                <w:lang w:val="en-GB"/>
              </w:rPr>
            </w:pPr>
            <w:r w:rsidRPr="004A59E4">
              <w:rPr>
                <w:b/>
                <w:bCs/>
                <w:sz w:val="26"/>
                <w:szCs w:val="26"/>
                <w:lang w:val="en-GB"/>
              </w:rPr>
              <w:t>Guidance of ISO 19011:201</w:t>
            </w:r>
            <w:r w:rsidR="00DB72C7">
              <w:rPr>
                <w:b/>
                <w:bCs/>
                <w:sz w:val="26"/>
                <w:szCs w:val="26"/>
                <w:lang w:val="en-GB"/>
              </w:rPr>
              <w:t>8</w:t>
            </w:r>
            <w:r w:rsidRPr="004A59E4">
              <w:rPr>
                <w:b/>
                <w:bCs/>
                <w:sz w:val="26"/>
                <w:szCs w:val="26"/>
                <w:lang w:val="en-GB"/>
              </w:rPr>
              <w:t xml:space="preserve"> Audit Management Systems </w:t>
            </w:r>
          </w:p>
        </w:tc>
      </w:tr>
      <w:tr w:rsidR="002E0270" w:rsidRPr="004A59E4" w14:paraId="4E019FEA" w14:textId="77777777" w:rsidTr="00DA5945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7ED8C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C50E682" w14:textId="77777777" w:rsidR="002E0270" w:rsidRPr="004A59E4" w:rsidRDefault="002E0270" w:rsidP="00E91B33">
            <w:pPr>
              <w:tabs>
                <w:tab w:val="left" w:pos="-108"/>
              </w:tabs>
              <w:spacing w:after="0" w:line="240" w:lineRule="auto"/>
              <w:ind w:left="34"/>
              <w:rPr>
                <w:lang w:val="en-GB"/>
              </w:rPr>
            </w:pPr>
            <w:r w:rsidRPr="004A59E4">
              <w:rPr>
                <w:lang w:val="en-GB"/>
              </w:rPr>
              <w:t xml:space="preserve">Introduction to the </w:t>
            </w:r>
            <w:r w:rsidR="00E91B33">
              <w:rPr>
                <w:bCs/>
                <w:lang w:val="en-GB"/>
              </w:rPr>
              <w:t>a</w:t>
            </w:r>
            <w:r w:rsidRPr="00E91B33">
              <w:rPr>
                <w:bCs/>
                <w:lang w:val="en-GB"/>
              </w:rPr>
              <w:t xml:space="preserve">udit </w:t>
            </w:r>
            <w:r w:rsidR="00E91B33">
              <w:rPr>
                <w:bCs/>
                <w:lang w:val="en-GB"/>
              </w:rPr>
              <w:t>m</w:t>
            </w:r>
            <w:r w:rsidRPr="00E91B33">
              <w:rPr>
                <w:bCs/>
                <w:lang w:val="en-GB"/>
              </w:rPr>
              <w:t xml:space="preserve">anagement </w:t>
            </w:r>
            <w:r w:rsidR="00E91B33">
              <w:rPr>
                <w:bCs/>
                <w:lang w:val="en-GB"/>
              </w:rPr>
              <w:t>s</w:t>
            </w:r>
            <w:r w:rsidRPr="00E91B33">
              <w:rPr>
                <w:bCs/>
                <w:lang w:val="en-GB"/>
              </w:rPr>
              <w:t>ystems</w:t>
            </w:r>
            <w:r w:rsidRPr="00E91B33">
              <w:rPr>
                <w:lang w:val="en-GB"/>
              </w:rPr>
              <w:t xml:space="preserve">. Principles of </w:t>
            </w:r>
            <w:r w:rsidR="00E91B33">
              <w:rPr>
                <w:lang w:val="en-GB"/>
              </w:rPr>
              <w:t>a</w:t>
            </w:r>
            <w:r w:rsidRPr="00E91B33">
              <w:rPr>
                <w:lang w:val="en-GB"/>
              </w:rPr>
              <w:t xml:space="preserve">uditing. Audits </w:t>
            </w:r>
            <w:r w:rsidR="00E91B33">
              <w:rPr>
                <w:lang w:val="en-GB"/>
              </w:rPr>
              <w:t>t</w:t>
            </w:r>
            <w:r w:rsidRPr="00E91B33">
              <w:rPr>
                <w:lang w:val="en-GB"/>
              </w:rPr>
              <w:t>ypes</w:t>
            </w:r>
            <w:r w:rsidRPr="004A59E4">
              <w:rPr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14:paraId="66A7CA1D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0.5</w:t>
            </w:r>
          </w:p>
        </w:tc>
      </w:tr>
      <w:tr w:rsidR="002E0270" w:rsidRPr="004A59E4" w14:paraId="2B129FE6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60A4A2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4.2.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989F6A" w14:textId="77777777" w:rsidR="002E0270" w:rsidRPr="004A59E4" w:rsidRDefault="002E0270" w:rsidP="00E91B33">
            <w:pPr>
              <w:spacing w:after="0" w:line="240" w:lineRule="auto"/>
              <w:rPr>
                <w:rFonts w:eastAsia="Tahoma-Bold"/>
                <w:bCs/>
                <w:lang w:val="en-GB"/>
              </w:rPr>
            </w:pPr>
            <w:r w:rsidRPr="004A59E4">
              <w:rPr>
                <w:lang w:val="en-GB"/>
              </w:rPr>
              <w:t xml:space="preserve">Management of </w:t>
            </w:r>
            <w:r w:rsidR="00E91B33">
              <w:rPr>
                <w:lang w:val="en-GB"/>
              </w:rPr>
              <w:t>a</w:t>
            </w:r>
            <w:r w:rsidRPr="004A59E4">
              <w:rPr>
                <w:lang w:val="en-GB"/>
              </w:rPr>
              <w:t xml:space="preserve">udit </w:t>
            </w:r>
            <w:r w:rsidR="00E91B33">
              <w:rPr>
                <w:lang w:val="en-GB"/>
              </w:rPr>
              <w:t>p</w:t>
            </w:r>
            <w:r w:rsidRPr="004A59E4">
              <w:rPr>
                <w:lang w:val="en-GB"/>
              </w:rPr>
              <w:t>rogram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</w:tcPr>
          <w:p w14:paraId="5F2860B3" w14:textId="77777777" w:rsidR="002E0270" w:rsidRPr="004A59E4" w:rsidRDefault="002E0270" w:rsidP="002E0270">
            <w:pPr>
              <w:spacing w:after="0" w:line="240" w:lineRule="auto"/>
              <w:ind w:left="-108" w:right="-108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0.5</w:t>
            </w:r>
          </w:p>
        </w:tc>
      </w:tr>
      <w:tr w:rsidR="002E0270" w:rsidRPr="004A59E4" w14:paraId="2F7C51AB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D117A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4.3.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E41D68" w14:textId="77777777" w:rsidR="002E0270" w:rsidRPr="004A59E4" w:rsidRDefault="002E0270" w:rsidP="002E0270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Leadership of the audit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7448FF70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3636FCE5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55C8D7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4.4.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06B108" w14:textId="77777777" w:rsidR="002E0270" w:rsidRPr="004A59E4" w:rsidRDefault="002E0270" w:rsidP="002E0270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Audit approach. Psychology of the audit communications.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00C239FB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48BCA7A4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90A532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4.5.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1E69D3" w14:textId="77777777" w:rsidR="002E0270" w:rsidRPr="004A59E4" w:rsidRDefault="002E0270" w:rsidP="002E0270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Competence and evaluation of the auditors.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77CE8476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1784FFE8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1353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4.6.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8A1B57" w14:textId="77777777" w:rsidR="002E0270" w:rsidRPr="004A59E4" w:rsidRDefault="002E0270" w:rsidP="002E0270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The audits conducting.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A479752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3DE9EBC0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2176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4.7.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29A92" w14:textId="77777777" w:rsidR="002E0270" w:rsidRPr="004A59E4" w:rsidRDefault="002E0270" w:rsidP="002E0270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Reporting during the audit. Preparation and presentation of the audit report.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B0CE5E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</w:t>
            </w:r>
          </w:p>
        </w:tc>
      </w:tr>
      <w:tr w:rsidR="002E0270" w:rsidRPr="004A59E4" w14:paraId="40EC0F6D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0B7A" w14:textId="77777777" w:rsidR="002E0270" w:rsidRPr="004A59E4" w:rsidRDefault="002E0270" w:rsidP="002E0270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4.8.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F32248" w14:textId="77777777" w:rsidR="002E0270" w:rsidRPr="004A59E4" w:rsidRDefault="002E0270" w:rsidP="002E0270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Report for non-conformities and corrective actions.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67711A1" w14:textId="77777777" w:rsidR="002E0270" w:rsidRPr="004A59E4" w:rsidRDefault="002E0270" w:rsidP="002E0270">
            <w:pPr>
              <w:spacing w:after="0" w:line="240" w:lineRule="auto"/>
              <w:jc w:val="center"/>
              <w:rPr>
                <w:bCs/>
                <w:lang w:val="en-GB"/>
              </w:rPr>
            </w:pPr>
            <w:r w:rsidRPr="004A59E4">
              <w:rPr>
                <w:bCs/>
                <w:lang w:val="en-GB"/>
              </w:rPr>
              <w:t>1</w:t>
            </w:r>
          </w:p>
        </w:tc>
      </w:tr>
      <w:tr w:rsidR="002E0270" w:rsidRPr="004A59E4" w14:paraId="5706D791" w14:textId="77777777" w:rsidTr="00DA594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9C71" w14:textId="77777777" w:rsidR="002E0270" w:rsidRPr="004A59E4" w:rsidRDefault="002E0270" w:rsidP="002E0270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4A59E4">
              <w:rPr>
                <w:b/>
                <w:sz w:val="26"/>
                <w:szCs w:val="26"/>
                <w:lang w:val="en-GB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367EB5" w14:textId="77777777" w:rsidR="002E0270" w:rsidRPr="004A59E4" w:rsidRDefault="002E0270" w:rsidP="002E0270">
            <w:pPr>
              <w:spacing w:after="0" w:line="240" w:lineRule="auto"/>
              <w:rPr>
                <w:b/>
                <w:color w:val="FF0000"/>
                <w:sz w:val="26"/>
                <w:szCs w:val="26"/>
                <w:lang w:val="en-GB"/>
              </w:rPr>
            </w:pPr>
            <w:r w:rsidRPr="004A59E4">
              <w:rPr>
                <w:b/>
                <w:lang w:val="en-GB"/>
              </w:rPr>
              <w:t>A written exam (test)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7A7AF8F" w14:textId="77777777" w:rsidR="002E0270" w:rsidRPr="004A59E4" w:rsidRDefault="002E0270" w:rsidP="002E0270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4A59E4">
              <w:rPr>
                <w:b/>
                <w:sz w:val="26"/>
                <w:szCs w:val="26"/>
                <w:lang w:val="en-GB"/>
              </w:rPr>
              <w:t>1</w:t>
            </w:r>
          </w:p>
        </w:tc>
      </w:tr>
    </w:tbl>
    <w:p w14:paraId="3C88AE9E" w14:textId="77777777" w:rsidR="002E0270" w:rsidRPr="004A59E4" w:rsidRDefault="002E0270" w:rsidP="002E0270">
      <w:pPr>
        <w:ind w:left="720"/>
        <w:rPr>
          <w:lang w:val="en-GB"/>
        </w:rPr>
      </w:pPr>
    </w:p>
    <w:p w14:paraId="629FAE2D" w14:textId="77777777" w:rsidR="002E0270" w:rsidRPr="004A59E4" w:rsidRDefault="002E0270" w:rsidP="002E0270">
      <w:pPr>
        <w:ind w:left="720"/>
        <w:rPr>
          <w:lang w:val="en-GB"/>
        </w:rPr>
      </w:pPr>
    </w:p>
    <w:p w14:paraId="22E9D8D4" w14:textId="77777777" w:rsidR="002E0270" w:rsidRPr="004A59E4" w:rsidRDefault="002E0270" w:rsidP="002E0270">
      <w:pPr>
        <w:ind w:firstLine="720"/>
        <w:rPr>
          <w:sz w:val="24"/>
          <w:szCs w:val="24"/>
          <w:lang w:val="en-GB"/>
        </w:rPr>
      </w:pPr>
      <w:r w:rsidRPr="004A59E4">
        <w:rPr>
          <w:sz w:val="24"/>
          <w:szCs w:val="24"/>
          <w:lang w:val="en-GB"/>
        </w:rPr>
        <w:lastRenderedPageBreak/>
        <w:t xml:space="preserve">C.2. </w:t>
      </w:r>
      <w:r w:rsidR="003321E1" w:rsidRPr="004A59E4">
        <w:rPr>
          <w:sz w:val="24"/>
          <w:szCs w:val="24"/>
          <w:lang w:val="en-GB"/>
        </w:rPr>
        <w:t>Extracurricular work of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36"/>
        <w:gridCol w:w="2132"/>
        <w:gridCol w:w="2132"/>
      </w:tblGrid>
      <w:tr w:rsidR="002E0270" w:rsidRPr="004A59E4" w14:paraId="62BC1B53" w14:textId="77777777" w:rsidTr="00DA5945">
        <w:tc>
          <w:tcPr>
            <w:tcW w:w="828" w:type="dxa"/>
          </w:tcPr>
          <w:p w14:paraId="003006C0" w14:textId="77777777" w:rsidR="002E0270" w:rsidRPr="004A59E4" w:rsidRDefault="002E0270" w:rsidP="004A59E4">
            <w:pPr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№</w:t>
            </w:r>
          </w:p>
        </w:tc>
        <w:tc>
          <w:tcPr>
            <w:tcW w:w="3436" w:type="dxa"/>
          </w:tcPr>
          <w:p w14:paraId="4D7F9D09" w14:textId="77777777" w:rsidR="002E0270" w:rsidRPr="004A59E4" w:rsidRDefault="003321E1" w:rsidP="003321E1">
            <w:pPr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 xml:space="preserve">Type of activity </w:t>
            </w:r>
          </w:p>
        </w:tc>
        <w:tc>
          <w:tcPr>
            <w:tcW w:w="2132" w:type="dxa"/>
          </w:tcPr>
          <w:p w14:paraId="33B83F55" w14:textId="77777777" w:rsidR="002E0270" w:rsidRPr="004A59E4" w:rsidRDefault="003321E1" w:rsidP="00DA5945">
            <w:pPr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Hours</w:t>
            </w:r>
          </w:p>
        </w:tc>
        <w:tc>
          <w:tcPr>
            <w:tcW w:w="2132" w:type="dxa"/>
          </w:tcPr>
          <w:p w14:paraId="3E6278AB" w14:textId="77777777" w:rsidR="002E0270" w:rsidRPr="004A59E4" w:rsidRDefault="002E0270" w:rsidP="00DA5945">
            <w:pPr>
              <w:jc w:val="center"/>
              <w:rPr>
                <w:b/>
                <w:lang w:val="en-GB"/>
              </w:rPr>
            </w:pPr>
            <w:r w:rsidRPr="004A59E4">
              <w:rPr>
                <w:b/>
                <w:lang w:val="en-GB"/>
              </w:rPr>
              <w:t>ECTS</w:t>
            </w:r>
          </w:p>
        </w:tc>
      </w:tr>
      <w:tr w:rsidR="002E0270" w:rsidRPr="004A59E4" w14:paraId="41ACF95B" w14:textId="77777777" w:rsidTr="00DA5945">
        <w:trPr>
          <w:cantSplit/>
        </w:trPr>
        <w:tc>
          <w:tcPr>
            <w:tcW w:w="8528" w:type="dxa"/>
            <w:gridSpan w:val="4"/>
          </w:tcPr>
          <w:p w14:paraId="65712BDF" w14:textId="77777777" w:rsidR="002E0270" w:rsidRPr="004A59E4" w:rsidRDefault="003321E1" w:rsidP="004A59E4">
            <w:pPr>
              <w:spacing w:after="0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Extracurricular work</w:t>
            </w:r>
          </w:p>
        </w:tc>
      </w:tr>
      <w:tr w:rsidR="002E0270" w:rsidRPr="004A59E4" w14:paraId="0492DFD9" w14:textId="77777777" w:rsidTr="00DA5945">
        <w:tc>
          <w:tcPr>
            <w:tcW w:w="828" w:type="dxa"/>
          </w:tcPr>
          <w:p w14:paraId="23E6EEC1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1.</w:t>
            </w:r>
          </w:p>
        </w:tc>
        <w:tc>
          <w:tcPr>
            <w:tcW w:w="3436" w:type="dxa"/>
          </w:tcPr>
          <w:p w14:paraId="6D621BA8" w14:textId="77777777" w:rsidR="002E0270" w:rsidRPr="004A59E4" w:rsidRDefault="003321E1" w:rsidP="004A59E4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Consultations</w:t>
            </w:r>
          </w:p>
        </w:tc>
        <w:tc>
          <w:tcPr>
            <w:tcW w:w="2132" w:type="dxa"/>
          </w:tcPr>
          <w:p w14:paraId="67CBE90D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15</w:t>
            </w:r>
          </w:p>
        </w:tc>
        <w:tc>
          <w:tcPr>
            <w:tcW w:w="2132" w:type="dxa"/>
          </w:tcPr>
          <w:p w14:paraId="14B87CA7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E0270" w:rsidRPr="004A59E4" w14:paraId="75EA362A" w14:textId="77777777" w:rsidTr="00DA5945">
        <w:tc>
          <w:tcPr>
            <w:tcW w:w="828" w:type="dxa"/>
          </w:tcPr>
          <w:p w14:paraId="11A23EC2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2.</w:t>
            </w:r>
          </w:p>
        </w:tc>
        <w:tc>
          <w:tcPr>
            <w:tcW w:w="3436" w:type="dxa"/>
          </w:tcPr>
          <w:p w14:paraId="184E516D" w14:textId="77777777" w:rsidR="002E0270" w:rsidRPr="004A59E4" w:rsidRDefault="003321E1" w:rsidP="004A59E4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Individual independent study</w:t>
            </w:r>
          </w:p>
        </w:tc>
        <w:tc>
          <w:tcPr>
            <w:tcW w:w="2132" w:type="dxa"/>
          </w:tcPr>
          <w:p w14:paraId="0F9677E0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15</w:t>
            </w:r>
          </w:p>
        </w:tc>
        <w:tc>
          <w:tcPr>
            <w:tcW w:w="2132" w:type="dxa"/>
          </w:tcPr>
          <w:p w14:paraId="1A818579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E0270" w:rsidRPr="004A59E4" w14:paraId="2DAFF01F" w14:textId="77777777" w:rsidTr="00DA5945">
        <w:tc>
          <w:tcPr>
            <w:tcW w:w="828" w:type="dxa"/>
          </w:tcPr>
          <w:p w14:paraId="352CE6D7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3.</w:t>
            </w:r>
          </w:p>
        </w:tc>
        <w:tc>
          <w:tcPr>
            <w:tcW w:w="3436" w:type="dxa"/>
          </w:tcPr>
          <w:p w14:paraId="16A08A11" w14:textId="77777777" w:rsidR="002E0270" w:rsidRPr="004A59E4" w:rsidRDefault="003321E1" w:rsidP="004A59E4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Essays</w:t>
            </w:r>
          </w:p>
        </w:tc>
        <w:tc>
          <w:tcPr>
            <w:tcW w:w="2132" w:type="dxa"/>
          </w:tcPr>
          <w:p w14:paraId="27DD7E5A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10</w:t>
            </w:r>
          </w:p>
        </w:tc>
        <w:tc>
          <w:tcPr>
            <w:tcW w:w="2132" w:type="dxa"/>
          </w:tcPr>
          <w:p w14:paraId="774503CE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E0270" w:rsidRPr="004A59E4" w14:paraId="4F2F6EA7" w14:textId="77777777" w:rsidTr="00DA5945">
        <w:tc>
          <w:tcPr>
            <w:tcW w:w="828" w:type="dxa"/>
          </w:tcPr>
          <w:p w14:paraId="519B9985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4.</w:t>
            </w:r>
          </w:p>
        </w:tc>
        <w:tc>
          <w:tcPr>
            <w:tcW w:w="3436" w:type="dxa"/>
          </w:tcPr>
          <w:p w14:paraId="595D6F5D" w14:textId="77777777" w:rsidR="002E0270" w:rsidRPr="004A59E4" w:rsidRDefault="003321E1" w:rsidP="004A59E4">
            <w:pPr>
              <w:spacing w:after="0" w:line="240" w:lineRule="auto"/>
              <w:rPr>
                <w:lang w:val="en-GB"/>
              </w:rPr>
            </w:pPr>
            <w:r w:rsidRPr="004A59E4">
              <w:rPr>
                <w:lang w:val="en-GB"/>
              </w:rPr>
              <w:t>Preparation for exam</w:t>
            </w:r>
          </w:p>
        </w:tc>
        <w:tc>
          <w:tcPr>
            <w:tcW w:w="2132" w:type="dxa"/>
          </w:tcPr>
          <w:p w14:paraId="708619C6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  <w:r w:rsidRPr="004A59E4">
              <w:rPr>
                <w:lang w:val="en-GB"/>
              </w:rPr>
              <w:t>20</w:t>
            </w:r>
          </w:p>
        </w:tc>
        <w:tc>
          <w:tcPr>
            <w:tcW w:w="2132" w:type="dxa"/>
          </w:tcPr>
          <w:p w14:paraId="6397BCB6" w14:textId="77777777" w:rsidR="002E0270" w:rsidRPr="004A59E4" w:rsidRDefault="002E0270" w:rsidP="004A59E4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14:paraId="69B4E305" w14:textId="77777777" w:rsidR="002E0270" w:rsidRPr="004A59E4" w:rsidRDefault="002E0270" w:rsidP="002E0270">
      <w:pPr>
        <w:rPr>
          <w:lang w:val="en-GB"/>
        </w:rPr>
      </w:pPr>
    </w:p>
    <w:p w14:paraId="5B76154D" w14:textId="77777777" w:rsidR="002E0270" w:rsidRPr="004A59E4" w:rsidRDefault="002E0270" w:rsidP="002E0270">
      <w:pPr>
        <w:ind w:firstLine="709"/>
        <w:rPr>
          <w:sz w:val="24"/>
          <w:szCs w:val="24"/>
          <w:lang w:val="en-GB"/>
        </w:rPr>
      </w:pPr>
      <w:r w:rsidRPr="004A59E4">
        <w:rPr>
          <w:sz w:val="24"/>
          <w:szCs w:val="24"/>
          <w:lang w:val="en-GB"/>
        </w:rPr>
        <w:t xml:space="preserve">C.3. </w:t>
      </w:r>
      <w:r w:rsidR="003321E1" w:rsidRPr="004A59E4">
        <w:rPr>
          <w:sz w:val="24"/>
          <w:szCs w:val="24"/>
          <w:lang w:val="en-GB"/>
        </w:rPr>
        <w:t>Exam</w:t>
      </w:r>
    </w:p>
    <w:p w14:paraId="5C1C06AF" w14:textId="77777777" w:rsidR="002E0270" w:rsidRPr="004A59E4" w:rsidRDefault="003321E1" w:rsidP="003321E1">
      <w:pPr>
        <w:ind w:firstLine="600"/>
        <w:jc w:val="both"/>
        <w:rPr>
          <w:i/>
          <w:iCs/>
          <w:lang w:val="en-GB"/>
        </w:rPr>
      </w:pPr>
      <w:r w:rsidRPr="004A59E4">
        <w:rPr>
          <w:lang w:val="en-GB"/>
        </w:rPr>
        <w:t>The examination will be conducted as a test. In the final grade will include evaluation the presented by the students HACCP plan prepared on a pre-selected and specified by the lecturer flow diagram for the production of specified food/drink/feedstuff.</w:t>
      </w:r>
    </w:p>
    <w:p w14:paraId="3A394E00" w14:textId="77777777" w:rsidR="002E0270" w:rsidRPr="004A59E4" w:rsidRDefault="002E0270" w:rsidP="002E0270">
      <w:pPr>
        <w:rPr>
          <w:lang w:val="en-GB"/>
        </w:rPr>
      </w:pPr>
    </w:p>
    <w:p w14:paraId="43723B74" w14:textId="77777777" w:rsidR="002E0270" w:rsidRPr="004A59E4" w:rsidRDefault="002E0270" w:rsidP="002E0270">
      <w:pPr>
        <w:ind w:firstLine="709"/>
        <w:rPr>
          <w:b/>
          <w:sz w:val="24"/>
          <w:szCs w:val="24"/>
          <w:lang w:val="en-GB"/>
        </w:rPr>
      </w:pPr>
      <w:r w:rsidRPr="004A59E4">
        <w:rPr>
          <w:b/>
          <w:sz w:val="24"/>
          <w:szCs w:val="24"/>
          <w:lang w:val="en-GB"/>
        </w:rPr>
        <w:t xml:space="preserve">D. </w:t>
      </w:r>
      <w:r w:rsidR="003321E1" w:rsidRPr="004A59E4">
        <w:rPr>
          <w:b/>
          <w:sz w:val="24"/>
          <w:szCs w:val="24"/>
          <w:lang w:val="en-GB"/>
        </w:rPr>
        <w:t>RECOMENDED LITERATURE</w:t>
      </w:r>
    </w:p>
    <w:p w14:paraId="105FA8BC" w14:textId="77777777" w:rsidR="002E0270" w:rsidRPr="004A59E4" w:rsidRDefault="002E0270" w:rsidP="002E0270">
      <w:pPr>
        <w:pStyle w:val="a5"/>
        <w:ind w:firstLine="720"/>
        <w:rPr>
          <w:rFonts w:asciiTheme="minorHAnsi" w:hAnsiTheme="minorHAnsi" w:cstheme="minorHAnsi"/>
          <w:lang w:val="en-GB"/>
        </w:rPr>
      </w:pPr>
      <w:r w:rsidRPr="004A59E4">
        <w:rPr>
          <w:rFonts w:asciiTheme="minorHAnsi" w:hAnsiTheme="minorHAnsi" w:cstheme="minorHAnsi"/>
          <w:lang w:val="en-GB"/>
        </w:rPr>
        <w:t>D.1. Basic literature</w:t>
      </w:r>
    </w:p>
    <w:p w14:paraId="6DF46208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Style w:val="a7"/>
          <w:rFonts w:asciiTheme="minorHAnsi" w:hAnsiTheme="minorHAnsi" w:cstheme="minorHAnsi"/>
          <w:lang w:val="el-GR"/>
        </w:rPr>
      </w:pPr>
      <w:r w:rsidRPr="00DB72C7">
        <w:rPr>
          <w:rFonts w:asciiTheme="minorHAnsi" w:hAnsiTheme="minorHAnsi" w:cstheme="minorHAnsi"/>
        </w:rPr>
        <w:t xml:space="preserve">Anderson, N. (2008). The Quality Management System - Is Yours up to Standard? Global Service Delivery Group, Corporate Facilities Management, EMEA, CBRE, </w:t>
      </w:r>
      <w:smartTag w:uri="urn:schemas-microsoft-com:office:smarttags" w:element="stockticker">
        <w:r w:rsidRPr="00DB72C7">
          <w:rPr>
            <w:rFonts w:asciiTheme="minorHAnsi" w:hAnsiTheme="minorHAnsi" w:cstheme="minorHAnsi"/>
          </w:rPr>
          <w:t>CBI</w:t>
        </w:r>
      </w:smartTag>
      <w:r w:rsidRPr="00DB72C7">
        <w:rPr>
          <w:rFonts w:asciiTheme="minorHAnsi" w:hAnsiTheme="minorHAnsi" w:cstheme="minorHAnsi"/>
        </w:rPr>
        <w:t xml:space="preserve"> Richard Ellius, USA. </w:t>
      </w:r>
      <w:hyperlink r:id="rId5" w:history="1">
        <w:r w:rsidRPr="00DB72C7">
          <w:rPr>
            <w:rStyle w:val="a7"/>
            <w:rFonts w:asciiTheme="minorHAnsi" w:hAnsiTheme="minorHAnsi" w:cstheme="minorHAnsi"/>
          </w:rPr>
          <w:t>www.portal.cbre.eu/workspace/documents/QMS_UPTODATE_V2.pdf</w:t>
        </w:r>
      </w:hyperlink>
    </w:p>
    <w:p w14:paraId="5361B1AF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 xml:space="preserve">Beckmerhagen I. A., H. P. Berg, S. V. Karapetrovic, W. O. Willborn (2004). On the Effectiveness of Quality Management System Audits, </w:t>
      </w:r>
      <w:hyperlink r:id="rId6" w:tooltip="The TQM Magazine" w:history="1">
        <w:r w:rsidRPr="00DB72C7">
          <w:rPr>
            <w:rStyle w:val="a7"/>
            <w:rFonts w:asciiTheme="minorHAnsi" w:hAnsiTheme="minorHAnsi" w:cstheme="minorHAnsi"/>
          </w:rPr>
          <w:t>The TQM Magazine</w:t>
        </w:r>
      </w:hyperlink>
      <w:r w:rsidRPr="00DB72C7">
        <w:rPr>
          <w:rFonts w:asciiTheme="minorHAnsi" w:hAnsiTheme="minorHAnsi" w:cstheme="minorHAnsi"/>
        </w:rPr>
        <w:t xml:space="preserve">, 16 (1): 14-25. </w:t>
      </w:r>
      <w:hyperlink r:id="rId7" w:history="1">
        <w:r w:rsidRPr="00DB72C7">
          <w:rPr>
            <w:rStyle w:val="a7"/>
            <w:rFonts w:asciiTheme="minorHAnsi" w:hAnsiTheme="minorHAnsi" w:cstheme="minorHAnsi"/>
          </w:rPr>
          <w:t>https://doi.org/10.1108/09544780410511443</w:t>
        </w:r>
      </w:hyperlink>
    </w:p>
    <w:p w14:paraId="65EA6C40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>Codex Alimentarius</w:t>
      </w:r>
      <w:r w:rsidRPr="00DB72C7">
        <w:rPr>
          <w:rFonts w:asciiTheme="minorHAnsi" w:hAnsiTheme="minorHAnsi" w:cstheme="minorHAnsi"/>
          <w:lang w:eastAsia="zh-CN"/>
        </w:rPr>
        <w:t xml:space="preserve"> C.1 Codes and Guidelines 1); C.1.1 General, </w:t>
      </w:r>
      <w:smartTag w:uri="urn:schemas-microsoft-com:office:smarttags" w:element="stockticker">
        <w:r w:rsidRPr="00DB72C7">
          <w:rPr>
            <w:rFonts w:asciiTheme="minorHAnsi" w:hAnsiTheme="minorHAnsi" w:cstheme="minorHAnsi"/>
            <w:lang w:eastAsia="zh-CN"/>
          </w:rPr>
          <w:t>CAC</w:t>
        </w:r>
      </w:smartTag>
      <w:r w:rsidRPr="00DB72C7">
        <w:rPr>
          <w:rFonts w:asciiTheme="minorHAnsi" w:hAnsiTheme="minorHAnsi" w:cstheme="minorHAnsi"/>
          <w:lang w:eastAsia="zh-CN"/>
        </w:rPr>
        <w:t xml:space="preserve">/RCP 1-1969 (Rev.4-2003), Recommended International Code of Practice - General Principles of Food Hygiene; incorporates Hazard Analysis and Critical Control Point (HACCP) system and guidelines for its application. </w:t>
      </w:r>
    </w:p>
    <w:p w14:paraId="6D47BFBE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  <w:bCs/>
          <w:lang w:val="be-BY"/>
        </w:rPr>
        <w:t>Food and Agricultural Organization of the United Nations/World Health Organization.</w:t>
      </w:r>
      <w:r w:rsidRPr="00DB72C7">
        <w:rPr>
          <w:rFonts w:asciiTheme="minorHAnsi" w:hAnsiTheme="minorHAnsi" w:cstheme="minorHAnsi"/>
          <w:bCs/>
        </w:rPr>
        <w:t xml:space="preserve"> (</w:t>
      </w:r>
      <w:r w:rsidRPr="00DB72C7">
        <w:rPr>
          <w:rFonts w:asciiTheme="minorHAnsi" w:hAnsiTheme="minorHAnsi" w:cstheme="minorHAnsi"/>
          <w:bCs/>
          <w:lang w:val="be-BY"/>
        </w:rPr>
        <w:t>1997</w:t>
      </w:r>
      <w:r w:rsidRPr="00DB72C7">
        <w:rPr>
          <w:rFonts w:asciiTheme="minorHAnsi" w:hAnsiTheme="minorHAnsi" w:cstheme="minorHAnsi"/>
          <w:bCs/>
        </w:rPr>
        <w:t xml:space="preserve">). </w:t>
      </w:r>
      <w:r w:rsidRPr="00DB72C7">
        <w:rPr>
          <w:rFonts w:asciiTheme="minorHAnsi" w:hAnsiTheme="minorHAnsi" w:cstheme="minorHAnsi"/>
          <w:bCs/>
          <w:lang w:val="be-BY"/>
        </w:rPr>
        <w:t>Codex Alimentarius Food Hygiene Basic Texts</w:t>
      </w:r>
      <w:r w:rsidRPr="00DB72C7">
        <w:rPr>
          <w:rFonts w:asciiTheme="minorHAnsi" w:hAnsiTheme="minorHAnsi" w:cstheme="minorHAnsi"/>
          <w:bCs/>
        </w:rPr>
        <w:t xml:space="preserve">, </w:t>
      </w:r>
      <w:r w:rsidRPr="00DB72C7">
        <w:rPr>
          <w:rFonts w:asciiTheme="minorHAnsi" w:hAnsiTheme="minorHAnsi" w:cstheme="minorHAnsi"/>
          <w:bCs/>
          <w:lang w:val="be-BY"/>
        </w:rPr>
        <w:t>Rome.</w:t>
      </w:r>
      <w:r w:rsidRPr="00DB72C7">
        <w:rPr>
          <w:rFonts w:asciiTheme="minorHAnsi" w:hAnsiTheme="minorHAnsi" w:cstheme="minorHAnsi"/>
          <w:bCs/>
        </w:rPr>
        <w:t xml:space="preserve">   </w:t>
      </w:r>
    </w:p>
    <w:p w14:paraId="7493DCD3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  <w:bCs/>
          <w:lang w:val="be-BY"/>
        </w:rPr>
        <w:t>ISO 9001:20</w:t>
      </w:r>
      <w:r w:rsidRPr="00DB72C7">
        <w:rPr>
          <w:rFonts w:asciiTheme="minorHAnsi" w:hAnsiTheme="minorHAnsi" w:cstheme="minorHAnsi"/>
          <w:bCs/>
        </w:rPr>
        <w:t>15</w:t>
      </w:r>
      <w:r w:rsidRPr="00DB72C7">
        <w:rPr>
          <w:rFonts w:asciiTheme="minorHAnsi" w:hAnsiTheme="minorHAnsi" w:cstheme="minorHAnsi"/>
          <w:bCs/>
          <w:lang w:val="be-BY"/>
        </w:rPr>
        <w:t xml:space="preserve">: Quality </w:t>
      </w:r>
      <w:r w:rsidRPr="00DB72C7">
        <w:rPr>
          <w:rFonts w:asciiTheme="minorHAnsi" w:hAnsiTheme="minorHAnsi" w:cstheme="minorHAnsi"/>
          <w:bCs/>
        </w:rPr>
        <w:t>M</w:t>
      </w:r>
      <w:r w:rsidRPr="00DB72C7">
        <w:rPr>
          <w:rFonts w:asciiTheme="minorHAnsi" w:hAnsiTheme="minorHAnsi" w:cstheme="minorHAnsi"/>
          <w:bCs/>
          <w:lang w:val="be-BY"/>
        </w:rPr>
        <w:t xml:space="preserve">anagement </w:t>
      </w:r>
      <w:r w:rsidRPr="00DB72C7">
        <w:rPr>
          <w:rFonts w:asciiTheme="minorHAnsi" w:hAnsiTheme="minorHAnsi" w:cstheme="minorHAnsi"/>
          <w:bCs/>
        </w:rPr>
        <w:t>S</w:t>
      </w:r>
      <w:r w:rsidRPr="00DB72C7">
        <w:rPr>
          <w:rFonts w:asciiTheme="minorHAnsi" w:hAnsiTheme="minorHAnsi" w:cstheme="minorHAnsi"/>
          <w:bCs/>
          <w:lang w:val="be-BY"/>
        </w:rPr>
        <w:t>ystems – Requirements.ISO 19011:20</w:t>
      </w:r>
      <w:r w:rsidRPr="00DB72C7">
        <w:rPr>
          <w:rFonts w:asciiTheme="minorHAnsi" w:hAnsiTheme="minorHAnsi" w:cstheme="minorHAnsi"/>
          <w:bCs/>
        </w:rPr>
        <w:t>18</w:t>
      </w:r>
      <w:r w:rsidRPr="00DB72C7">
        <w:rPr>
          <w:rFonts w:asciiTheme="minorHAnsi" w:hAnsiTheme="minorHAnsi" w:cstheme="minorHAnsi"/>
          <w:bCs/>
          <w:lang w:val="be-BY"/>
        </w:rPr>
        <w:t xml:space="preserve">: </w:t>
      </w:r>
      <w:r w:rsidRPr="00DB72C7">
        <w:rPr>
          <w:rFonts w:asciiTheme="minorHAnsi" w:hAnsiTheme="minorHAnsi" w:cstheme="minorHAnsi"/>
          <w:bCs/>
        </w:rPr>
        <w:t>A</w:t>
      </w:r>
      <w:r w:rsidRPr="00DB72C7">
        <w:rPr>
          <w:rFonts w:asciiTheme="minorHAnsi" w:hAnsiTheme="minorHAnsi" w:cstheme="minorHAnsi"/>
          <w:bCs/>
          <w:lang w:val="be-BY"/>
        </w:rPr>
        <w:t xml:space="preserve">uditing </w:t>
      </w:r>
      <w:r w:rsidRPr="00DB72C7">
        <w:rPr>
          <w:rFonts w:asciiTheme="minorHAnsi" w:hAnsiTheme="minorHAnsi" w:cstheme="minorHAnsi"/>
          <w:bCs/>
        </w:rPr>
        <w:t>M</w:t>
      </w:r>
      <w:r w:rsidRPr="00DB72C7">
        <w:rPr>
          <w:rFonts w:asciiTheme="minorHAnsi" w:hAnsiTheme="minorHAnsi" w:cstheme="minorHAnsi"/>
          <w:bCs/>
          <w:lang w:val="be-BY"/>
        </w:rPr>
        <w:t xml:space="preserve">anagement </w:t>
      </w:r>
      <w:r w:rsidRPr="00DB72C7">
        <w:rPr>
          <w:rFonts w:asciiTheme="minorHAnsi" w:hAnsiTheme="minorHAnsi" w:cstheme="minorHAnsi"/>
          <w:bCs/>
        </w:rPr>
        <w:t>S</w:t>
      </w:r>
      <w:r w:rsidRPr="00DB72C7">
        <w:rPr>
          <w:rFonts w:asciiTheme="minorHAnsi" w:hAnsiTheme="minorHAnsi" w:cstheme="minorHAnsi"/>
          <w:bCs/>
          <w:lang w:val="be-BY"/>
        </w:rPr>
        <w:t>ystems.</w:t>
      </w:r>
    </w:p>
    <w:p w14:paraId="678B6DC8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  <w:lang w:val="en-GB"/>
        </w:rPr>
        <w:t xml:space="preserve">Joint FAO/WHO Food Standards Programme. (2011). Codex Alimentarius Commission. Procedural Manual, Twentieth edition. FAO/WHO, Roma. ISSN 1020-8070. </w:t>
      </w:r>
      <w:r w:rsidRPr="00DB72C7">
        <w:rPr>
          <w:rFonts w:asciiTheme="minorHAnsi" w:hAnsiTheme="minorHAnsi" w:cstheme="minorHAnsi"/>
          <w:color w:val="0000FF"/>
          <w:lang w:val="en-GB"/>
        </w:rPr>
        <w:t>ht</w:t>
      </w:r>
      <w:hyperlink r:id="rId8" w:history="1">
        <w:r w:rsidRPr="00DB72C7">
          <w:rPr>
            <w:rFonts w:asciiTheme="minorHAnsi" w:hAnsiTheme="minorHAnsi" w:cstheme="minorHAnsi"/>
            <w:color w:val="0000FF"/>
            <w:lang w:val="en-GB"/>
          </w:rPr>
          <w:t>tp://</w:t>
        </w:r>
      </w:hyperlink>
      <w:r w:rsidRPr="00DB72C7">
        <w:rPr>
          <w:rFonts w:asciiTheme="minorHAnsi" w:hAnsiTheme="minorHAnsi" w:cstheme="minorHAnsi"/>
          <w:color w:val="0000FF"/>
          <w:lang w:val="en-GB"/>
        </w:rPr>
        <w:t>ftp://ftp.fao.org/codex/Publications/ProcManuals/Manual_20e.pdf</w:t>
      </w:r>
    </w:p>
    <w:p w14:paraId="6AFF777B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 xml:space="preserve">Purwanto, A., Asbar, M., Santoso, P.B. </w:t>
      </w:r>
      <w:r w:rsidRPr="00DB72C7">
        <w:rPr>
          <w:rFonts w:asciiTheme="minorHAnsi" w:hAnsiTheme="minorHAnsi" w:cstheme="minorHAnsi"/>
          <w:lang w:val="sv-SE"/>
        </w:rPr>
        <w:t xml:space="preserve">(2019). </w:t>
      </w:r>
      <w:r w:rsidRPr="00DB72C7">
        <w:rPr>
          <w:rFonts w:asciiTheme="minorHAnsi" w:hAnsiTheme="minorHAnsi" w:cstheme="minorHAnsi"/>
        </w:rPr>
        <w:t xml:space="preserve">Influence of Transformational and Transactional Leadership Style toward Food Safety Management System ISO 22000:2018 Performance of Food Industry in Pati Central Java. </w:t>
      </w:r>
      <w:r w:rsidRPr="00DB72C7">
        <w:rPr>
          <w:rFonts w:asciiTheme="minorHAnsi" w:hAnsiTheme="minorHAnsi" w:cstheme="minorHAnsi"/>
          <w:lang w:val="fr-FR"/>
        </w:rPr>
        <w:t xml:space="preserve">Inovbiz: Jurnal Inovasi Bisnis, </w:t>
      </w:r>
      <w:hyperlink r:id="rId9" w:tooltip="Go to table of contents for this volume/issue" w:history="1">
        <w:r w:rsidRPr="00DB72C7">
          <w:rPr>
            <w:rStyle w:val="a7"/>
            <w:rFonts w:asciiTheme="minorHAnsi" w:hAnsiTheme="minorHAnsi" w:cstheme="minorHAnsi"/>
            <w:lang w:val="fr-FR"/>
          </w:rPr>
          <w:t>7 (2):</w:t>
        </w:r>
      </w:hyperlink>
      <w:r w:rsidRPr="00DB72C7">
        <w:rPr>
          <w:rFonts w:asciiTheme="minorHAnsi" w:hAnsiTheme="minorHAnsi" w:cstheme="minorHAnsi"/>
          <w:lang w:val="fr-FR"/>
        </w:rPr>
        <w:t xml:space="preserve"> 180-185. </w:t>
      </w:r>
      <w:hyperlink r:id="rId10" w:history="1">
        <w:r w:rsidRPr="00DB72C7">
          <w:rPr>
            <w:rStyle w:val="a7"/>
            <w:rFonts w:asciiTheme="minorHAnsi" w:hAnsiTheme="minorHAnsi" w:cstheme="minorHAnsi"/>
            <w:lang w:val="fr-FR"/>
          </w:rPr>
          <w:t>http://ejournal.polbeng.ac.id/index.php/IBP/article/view/1213/563</w:t>
        </w:r>
      </w:hyperlink>
    </w:p>
    <w:p w14:paraId="6597A41D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  <w:iCs/>
        </w:rPr>
        <w:t>Walker, H. F., A. K. Elshennawy, B. C. Gupta, M. McShane Vaughn</w:t>
      </w:r>
      <w:r w:rsidRPr="00DB72C7">
        <w:rPr>
          <w:rFonts w:asciiTheme="minorHAnsi" w:hAnsiTheme="minorHAnsi" w:cstheme="minorHAnsi"/>
          <w:bCs/>
        </w:rPr>
        <w:t xml:space="preserve"> </w:t>
      </w:r>
      <w:r w:rsidRPr="00DB72C7">
        <w:rPr>
          <w:rFonts w:asciiTheme="minorHAnsi" w:hAnsiTheme="minorHAnsi" w:cstheme="minorHAnsi"/>
          <w:iCs/>
        </w:rPr>
        <w:t xml:space="preserve">(2009). </w:t>
      </w:r>
      <w:r w:rsidRPr="00DB72C7">
        <w:rPr>
          <w:rFonts w:asciiTheme="minorHAnsi" w:hAnsiTheme="minorHAnsi" w:cstheme="minorHAnsi"/>
          <w:bCs/>
        </w:rPr>
        <w:t>The Certified Quality Inspector Handbook</w:t>
      </w:r>
      <w:r w:rsidRPr="00DB72C7">
        <w:rPr>
          <w:rFonts w:asciiTheme="minorHAnsi" w:hAnsiTheme="minorHAnsi" w:cstheme="minorHAnsi"/>
        </w:rPr>
        <w:t>, American Society for Quality, ASQ Quality Press, Milwaukee, WI, USA. ISBN 978-0-87389-731-0.</w:t>
      </w:r>
    </w:p>
    <w:p w14:paraId="057FE540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 xml:space="preserve">Lance, B. Coleman, Sr. (2020). The ASQ Certified Quality Auditor Handbook. Fifth Edition, ISBN: 978-1-951058-09-8. </w:t>
      </w:r>
    </w:p>
    <w:p w14:paraId="168A6D44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lastRenderedPageBreak/>
        <w:t xml:space="preserve">Russell, J.P. (2007). The Internal Auditing Pocket Guide Preparing. Performing, Reporting and Follow-up, Second Edition, Spiralbound, ISBN: 978-0-87389-710-5. </w:t>
      </w:r>
    </w:p>
    <w:p w14:paraId="578E9933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>Mawby, W.D. (2021). The ASQ Auditing Handbook, Navigating Big Data Analytics, Fourth Edition, Contact Quality Press.</w:t>
      </w:r>
    </w:p>
    <w:p w14:paraId="14982F05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>Coleman, Sr., Lance, B. (2018). Standard Issues: Game, Set, Match. Quality Progress, 51 (7): 44-47.</w:t>
      </w:r>
    </w:p>
    <w:p w14:paraId="2D507F1A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>Coleman, L. B. Sr. (2020). Making Remote Work. Advice On Getting the Most Out of Remote Auditing to Minimize Risk and Manage Suppliers. Quality Progress, 53 (9): 16-23.</w:t>
      </w:r>
    </w:p>
    <w:p w14:paraId="0428C956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 xml:space="preserve">Robitaille, D. (2018). ISO 19011: It's Changing - Who Cares?, Webcast. </w:t>
      </w:r>
      <w:r w:rsidRPr="00DB72C7">
        <w:rPr>
          <w:rFonts w:asciiTheme="minorHAnsi" w:hAnsiTheme="minorHAnsi" w:cstheme="minorHAnsi"/>
          <w:lang w:val="fr-FR"/>
        </w:rPr>
        <w:t xml:space="preserve">ASQ.ORG, Robitaille Associates. </w:t>
      </w:r>
      <w:hyperlink r:id="rId11" w:history="1">
        <w:r w:rsidRPr="00DB72C7">
          <w:rPr>
            <w:rStyle w:val="a7"/>
            <w:rFonts w:asciiTheme="minorHAnsi" w:hAnsiTheme="minorHAnsi" w:cstheme="minorHAnsi"/>
            <w:lang w:val="fr-FR"/>
          </w:rPr>
          <w:t>https://asq.org/quality-resources/webcasts/iso-19011-its-changing-who-cares-webcast?id=d295ed4773244ef68c42128590ab2415</w:t>
        </w:r>
      </w:hyperlink>
    </w:p>
    <w:p w14:paraId="2BC0A742" w14:textId="77777777" w:rsidR="00DB72C7" w:rsidRPr="00DB72C7" w:rsidRDefault="00DB72C7" w:rsidP="00DB72C7">
      <w:pPr>
        <w:pStyle w:val="a3"/>
        <w:numPr>
          <w:ilvl w:val="0"/>
          <w:numId w:val="2"/>
        </w:numPr>
        <w:tabs>
          <w:tab w:val="left" w:pos="-3780"/>
          <w:tab w:val="left" w:pos="-3420"/>
          <w:tab w:val="left" w:pos="-1701"/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426" w:right="34" w:hanging="426"/>
        <w:textAlignment w:val="baseline"/>
        <w:rPr>
          <w:rFonts w:asciiTheme="minorHAnsi" w:hAnsiTheme="minorHAnsi" w:cstheme="minorHAnsi"/>
          <w:color w:val="0000FF"/>
          <w:lang w:val="el-GR"/>
        </w:rPr>
      </w:pPr>
      <w:r w:rsidRPr="00DB72C7">
        <w:rPr>
          <w:rFonts w:asciiTheme="minorHAnsi" w:hAnsiTheme="minorHAnsi" w:cstheme="minorHAnsi"/>
        </w:rPr>
        <w:t>What is ISO 19011:2018 – Auditing Management Systems?</w:t>
      </w:r>
      <w:r w:rsidRPr="00DB72C7">
        <w:rPr>
          <w:rFonts w:asciiTheme="minorHAnsi" w:hAnsiTheme="minorHAnsi" w:cstheme="minorHAnsi"/>
          <w:color w:val="0000FF"/>
        </w:rPr>
        <w:t xml:space="preserve"> </w:t>
      </w:r>
      <w:r w:rsidRPr="00DB72C7">
        <w:rPr>
          <w:rFonts w:asciiTheme="minorHAnsi" w:hAnsiTheme="minorHAnsi" w:cstheme="minorHAnsi"/>
        </w:rPr>
        <w:t xml:space="preserve">Quality Resources. </w:t>
      </w:r>
      <w:r w:rsidRPr="00DB72C7">
        <w:rPr>
          <w:rFonts w:asciiTheme="minorHAnsi" w:hAnsiTheme="minorHAnsi" w:cstheme="minorHAnsi"/>
          <w:color w:val="0000FF"/>
        </w:rPr>
        <w:t>https://asq.org/quality-resources/iso-19011</w:t>
      </w:r>
    </w:p>
    <w:p w14:paraId="12AB6958" w14:textId="77777777" w:rsidR="002E0270" w:rsidRPr="004A59E4" w:rsidRDefault="002E0270" w:rsidP="004A59E4">
      <w:pPr>
        <w:pStyle w:val="a5"/>
        <w:tabs>
          <w:tab w:val="left" w:pos="240"/>
        </w:tabs>
        <w:ind w:left="284" w:hanging="284"/>
        <w:rPr>
          <w:rFonts w:asciiTheme="minorHAnsi" w:hAnsiTheme="minorHAnsi" w:cstheme="minorHAnsi"/>
          <w:lang w:val="en-GB"/>
        </w:rPr>
      </w:pPr>
    </w:p>
    <w:p w14:paraId="54F502D3" w14:textId="77777777" w:rsidR="004A59E4" w:rsidRPr="004A59E4" w:rsidRDefault="004A59E4" w:rsidP="004A59E4">
      <w:pPr>
        <w:pStyle w:val="a5"/>
        <w:tabs>
          <w:tab w:val="left" w:pos="240"/>
        </w:tabs>
        <w:ind w:left="284" w:hanging="284"/>
        <w:rPr>
          <w:rFonts w:asciiTheme="minorHAnsi" w:hAnsiTheme="minorHAnsi" w:cstheme="minorHAnsi"/>
          <w:lang w:val="en-GB"/>
        </w:rPr>
      </w:pPr>
    </w:p>
    <w:p w14:paraId="567A38C9" w14:textId="77777777" w:rsidR="002E0270" w:rsidRPr="004A59E4" w:rsidRDefault="002E0270" w:rsidP="002E0270">
      <w:pPr>
        <w:pStyle w:val="a5"/>
        <w:tabs>
          <w:tab w:val="left" w:pos="-2280"/>
        </w:tabs>
        <w:ind w:left="840" w:hanging="240"/>
        <w:rPr>
          <w:rFonts w:asciiTheme="minorHAnsi" w:hAnsiTheme="minorHAnsi" w:cstheme="minorHAnsi"/>
          <w:lang w:val="en-GB"/>
        </w:rPr>
      </w:pPr>
      <w:r w:rsidRPr="004A59E4">
        <w:rPr>
          <w:rFonts w:asciiTheme="minorHAnsi" w:hAnsiTheme="minorHAnsi" w:cstheme="minorHAnsi"/>
          <w:lang w:val="en-GB"/>
        </w:rPr>
        <w:t>D.2. Additional literature</w:t>
      </w:r>
    </w:p>
    <w:p w14:paraId="29E15295" w14:textId="77777777" w:rsidR="004A59E4" w:rsidRPr="004A59E4" w:rsidRDefault="004A59E4" w:rsidP="002E0270">
      <w:pPr>
        <w:pStyle w:val="a5"/>
        <w:tabs>
          <w:tab w:val="left" w:pos="-2280"/>
        </w:tabs>
        <w:ind w:left="840" w:hanging="240"/>
        <w:rPr>
          <w:rFonts w:asciiTheme="minorHAnsi" w:hAnsiTheme="minorHAnsi" w:cstheme="minorHAnsi"/>
          <w:lang w:val="en-GB"/>
        </w:rPr>
      </w:pPr>
    </w:p>
    <w:p w14:paraId="4429F69F" w14:textId="771A3DF0" w:rsidR="002E0270" w:rsidRPr="004A59E4" w:rsidRDefault="002E0270" w:rsidP="002E0270">
      <w:pPr>
        <w:pStyle w:val="a3"/>
        <w:numPr>
          <w:ilvl w:val="0"/>
          <w:numId w:val="1"/>
        </w:numPr>
        <w:tabs>
          <w:tab w:val="clear" w:pos="720"/>
          <w:tab w:val="num" w:pos="-2280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lang w:val="en-GB"/>
        </w:rPr>
      </w:pPr>
      <w:r w:rsidRPr="004A59E4">
        <w:rPr>
          <w:rFonts w:asciiTheme="minorHAnsi" w:hAnsiTheme="minorHAnsi" w:cstheme="minorHAnsi"/>
          <w:lang w:val="en-GB"/>
        </w:rPr>
        <w:t>Anderson, N. (2008). The Quality Management Sy</w:t>
      </w:r>
      <w:r w:rsidR="00A07E51">
        <w:rPr>
          <w:rFonts w:asciiTheme="minorHAnsi" w:hAnsiTheme="minorHAnsi" w:cstheme="minorHAnsi"/>
          <w:lang w:val="en-GB"/>
        </w:rPr>
        <w:t>s</w:t>
      </w:r>
      <w:r w:rsidRPr="004A59E4">
        <w:rPr>
          <w:rFonts w:asciiTheme="minorHAnsi" w:hAnsiTheme="minorHAnsi" w:cstheme="minorHAnsi"/>
          <w:lang w:val="en-GB"/>
        </w:rPr>
        <w:t xml:space="preserve">tem - Is Yours up to Standard? , Global Service Delivery Group, Corporate Facilities Management, EMEA, CBRE, </w:t>
      </w:r>
      <w:smartTag w:uri="urn:schemas-microsoft-com:office:smarttags" w:element="stockticker">
        <w:r w:rsidRPr="004A59E4">
          <w:rPr>
            <w:rFonts w:asciiTheme="minorHAnsi" w:hAnsiTheme="minorHAnsi" w:cstheme="minorHAnsi"/>
            <w:lang w:val="en-GB"/>
          </w:rPr>
          <w:t>CBI</w:t>
        </w:r>
      </w:smartTag>
      <w:r w:rsidRPr="004A59E4">
        <w:rPr>
          <w:rFonts w:asciiTheme="minorHAnsi" w:hAnsiTheme="minorHAnsi" w:cstheme="minorHAnsi"/>
          <w:lang w:val="en-GB"/>
        </w:rPr>
        <w:t xml:space="preserve"> Richard Ellius, USA. </w:t>
      </w:r>
      <w:hyperlink r:id="rId12" w:history="1">
        <w:r w:rsidRPr="004A59E4">
          <w:rPr>
            <w:rStyle w:val="a7"/>
            <w:rFonts w:asciiTheme="minorHAnsi" w:hAnsiTheme="minorHAnsi" w:cstheme="minorHAnsi"/>
            <w:lang w:val="en-GB"/>
          </w:rPr>
          <w:t>www.portal.cbre.eu/workspace/documents/QMS_UPTODATE_V2. pdf</w:t>
        </w:r>
      </w:hyperlink>
    </w:p>
    <w:p w14:paraId="18E6F919" w14:textId="77777777" w:rsidR="002E0270" w:rsidRPr="00DB72C7" w:rsidRDefault="002E0270" w:rsidP="002E0270">
      <w:pPr>
        <w:pStyle w:val="a3"/>
        <w:numPr>
          <w:ilvl w:val="0"/>
          <w:numId w:val="1"/>
        </w:numPr>
        <w:tabs>
          <w:tab w:val="clear" w:pos="720"/>
          <w:tab w:val="num" w:pos="-2280"/>
        </w:tabs>
        <w:spacing w:before="0" w:beforeAutospacing="0" w:after="0" w:afterAutospacing="0"/>
        <w:ind w:left="284" w:hanging="284"/>
        <w:rPr>
          <w:rStyle w:val="HTML"/>
          <w:rFonts w:asciiTheme="minorHAnsi" w:hAnsiTheme="minorHAnsi" w:cstheme="minorHAnsi"/>
          <w:color w:val="000000"/>
          <w:lang w:val="en-GB"/>
        </w:rPr>
      </w:pPr>
      <w:r w:rsidRPr="00DB72C7">
        <w:rPr>
          <w:rFonts w:asciiTheme="minorHAnsi" w:hAnsiTheme="minorHAnsi" w:cstheme="minorHAnsi"/>
          <w:lang w:val="en-GB"/>
        </w:rPr>
        <w:t xml:space="preserve">Beckmerhagen I.A.,  H.P. Berg,  S.V. Karapetrovic,  W.O. Willborn (2004). On the Effectiveness of Quality Management System Audits, </w:t>
      </w:r>
      <w:hyperlink r:id="rId13" w:tooltip="The TQM Magazine" w:history="1">
        <w:r w:rsidRPr="00DB72C7">
          <w:rPr>
            <w:rStyle w:val="a7"/>
            <w:rFonts w:asciiTheme="minorHAnsi" w:hAnsiTheme="minorHAnsi" w:cstheme="minorHAnsi"/>
            <w:lang w:val="en-GB"/>
          </w:rPr>
          <w:t>The TQM Magazine</w:t>
        </w:r>
      </w:hyperlink>
      <w:r w:rsidRPr="00DB72C7">
        <w:rPr>
          <w:rFonts w:asciiTheme="minorHAnsi" w:hAnsiTheme="minorHAnsi" w:cstheme="minorHAnsi"/>
          <w:lang w:val="en-GB"/>
        </w:rPr>
        <w:t xml:space="preserve">, 16 (1): 14-25, </w:t>
      </w:r>
      <w:r w:rsidRPr="00DB72C7">
        <w:rPr>
          <w:rStyle w:val="a4"/>
          <w:rFonts w:asciiTheme="minorHAnsi" w:hAnsiTheme="minorHAnsi" w:cstheme="minorHAnsi"/>
          <w:b w:val="0"/>
          <w:lang w:val="en-GB"/>
        </w:rPr>
        <w:t>Publisher:</w:t>
      </w:r>
      <w:r w:rsidRPr="00DB72C7">
        <w:rPr>
          <w:rStyle w:val="a4"/>
          <w:rFonts w:asciiTheme="minorHAnsi" w:hAnsiTheme="minorHAnsi" w:cstheme="minorHAnsi"/>
          <w:lang w:val="en-GB"/>
        </w:rPr>
        <w:t xml:space="preserve"> </w:t>
      </w:r>
      <w:hyperlink r:id="rId14" w:tooltip="publisher" w:history="1">
        <w:r w:rsidRPr="00DB72C7">
          <w:rPr>
            <w:rStyle w:val="a7"/>
            <w:rFonts w:asciiTheme="minorHAnsi" w:hAnsiTheme="minorHAnsi" w:cstheme="minorHAnsi"/>
            <w:lang w:val="en-GB"/>
          </w:rPr>
          <w:t>Emerald Group Publishing Limited</w:t>
        </w:r>
      </w:hyperlink>
      <w:r w:rsidRPr="00DB72C7">
        <w:rPr>
          <w:rFonts w:asciiTheme="minorHAnsi" w:hAnsiTheme="minorHAnsi" w:cstheme="minorHAnsi"/>
          <w:lang w:val="en-GB"/>
        </w:rPr>
        <w:t xml:space="preserve">, ISSN: 0954-487X, </w:t>
      </w:r>
      <w:r w:rsidRPr="00DB72C7">
        <w:rPr>
          <w:rFonts w:asciiTheme="minorHAnsi" w:hAnsiTheme="minorHAnsi" w:cstheme="minorHAnsi"/>
          <w:color w:val="0000FF"/>
          <w:u w:val="single"/>
          <w:lang w:val="en-GB"/>
        </w:rPr>
        <w:t>DOI: 10.1108/09544780410511443;</w:t>
      </w:r>
      <w:r w:rsidRPr="00DB72C7">
        <w:rPr>
          <w:rFonts w:asciiTheme="minorHAnsi" w:hAnsiTheme="minorHAnsi" w:cstheme="minorHAnsi"/>
          <w:lang w:val="en-GB"/>
        </w:rPr>
        <w:t xml:space="preserve"> </w:t>
      </w:r>
    </w:p>
    <w:p w14:paraId="6FEEE48F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num" w:pos="-2280"/>
        </w:tabs>
        <w:spacing w:after="0" w:line="240" w:lineRule="auto"/>
        <w:ind w:left="284" w:right="-88" w:hanging="284"/>
        <w:rPr>
          <w:rFonts w:cstheme="minorHAnsi"/>
          <w:color w:val="0000FF"/>
          <w:sz w:val="24"/>
          <w:szCs w:val="24"/>
          <w:lang w:val="en-GB"/>
        </w:rPr>
      </w:pPr>
      <w:r w:rsidRPr="00DB72C7">
        <w:rPr>
          <w:rFonts w:cstheme="minorHAnsi"/>
          <w:sz w:val="24"/>
          <w:szCs w:val="24"/>
          <w:lang w:val="en-GB"/>
        </w:rPr>
        <w:t xml:space="preserve">Codex Alimentarius. International Food Standards.  </w:t>
      </w:r>
      <w:hyperlink r:id="rId15" w:history="1">
        <w:r w:rsidRPr="00DB72C7">
          <w:rPr>
            <w:rStyle w:val="a7"/>
            <w:rFonts w:cstheme="minorHAnsi"/>
            <w:sz w:val="24"/>
            <w:szCs w:val="24"/>
            <w:lang w:val="en-GB"/>
          </w:rPr>
          <w:t>http://www.codexalimentarius.net/STANDARD/ standard.htm</w:t>
        </w:r>
      </w:hyperlink>
    </w:p>
    <w:p w14:paraId="3AC32FCB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  <w:lang w:val="en-GB"/>
        </w:rPr>
      </w:pPr>
      <w:r w:rsidRPr="00DB72C7">
        <w:rPr>
          <w:rFonts w:cstheme="minorHAnsi"/>
          <w:sz w:val="24"/>
          <w:szCs w:val="24"/>
          <w:lang w:val="en-GB"/>
        </w:rPr>
        <w:t xml:space="preserve">Canadian Food Inspection Agency - Food Safety Enhancement Program. </w:t>
      </w:r>
      <w:r w:rsidRPr="00DB72C7">
        <w:rPr>
          <w:rFonts w:cstheme="minorHAnsi"/>
          <w:color w:val="0000FF"/>
          <w:sz w:val="24"/>
          <w:szCs w:val="24"/>
          <w:u w:val="single"/>
          <w:lang w:val="en-GB"/>
        </w:rPr>
        <w:t>http://www.inspection.gc. ca/english/ppc/psps/haccp/haccpe.shtml</w:t>
      </w:r>
    </w:p>
    <w:p w14:paraId="6D0D63AC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  <w:lang w:val="en-GB" w:eastAsia="zh-CN"/>
        </w:rPr>
      </w:pPr>
      <w:r w:rsidRPr="00DB72C7">
        <w:rPr>
          <w:rFonts w:cstheme="minorHAnsi"/>
          <w:sz w:val="24"/>
          <w:szCs w:val="24"/>
          <w:lang w:val="en-GB"/>
        </w:rPr>
        <w:t>Codex Alimentarius</w:t>
      </w:r>
      <w:r w:rsidRPr="00DB72C7">
        <w:rPr>
          <w:rFonts w:cstheme="minorHAnsi"/>
          <w:sz w:val="24"/>
          <w:szCs w:val="24"/>
          <w:lang w:val="en-GB" w:eastAsia="zh-CN"/>
        </w:rPr>
        <w:t xml:space="preserve"> C.1 Codes and Guidelines 1); C.1.1 General, </w:t>
      </w:r>
      <w:smartTag w:uri="urn:schemas-microsoft-com:office:smarttags" w:element="stockticker">
        <w:r w:rsidRPr="00DB72C7">
          <w:rPr>
            <w:rFonts w:cstheme="minorHAnsi"/>
            <w:sz w:val="24"/>
            <w:szCs w:val="24"/>
            <w:lang w:val="en-GB" w:eastAsia="zh-CN"/>
          </w:rPr>
          <w:t>CAC</w:t>
        </w:r>
      </w:smartTag>
      <w:r w:rsidRPr="00DB72C7">
        <w:rPr>
          <w:rFonts w:cstheme="minorHAnsi"/>
          <w:sz w:val="24"/>
          <w:szCs w:val="24"/>
          <w:lang w:val="en-GB" w:eastAsia="zh-CN"/>
        </w:rPr>
        <w:t xml:space="preserve">/RCP 1-1969 (Rev.4-2003), Recommended International Code of Practice - General Principles of Food Hygiene; incorporates Hazard Analysis and Critical Control Point (HACCP) system and guidelines for its application. </w:t>
      </w:r>
    </w:p>
    <w:p w14:paraId="35B5B106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  <w:lang w:val="en-GB" w:eastAsia="zh-CN"/>
        </w:rPr>
      </w:pPr>
      <w:r w:rsidRPr="00DB72C7">
        <w:rPr>
          <w:rFonts w:cstheme="minorHAnsi"/>
          <w:sz w:val="24"/>
          <w:szCs w:val="24"/>
          <w:lang w:val="en-GB"/>
        </w:rPr>
        <w:t>Codex Alimentarius</w:t>
      </w:r>
      <w:r w:rsidRPr="00DB72C7">
        <w:rPr>
          <w:rFonts w:cstheme="minorHAnsi"/>
          <w:sz w:val="24"/>
          <w:szCs w:val="24"/>
          <w:lang w:val="en-GB" w:eastAsia="zh-CN"/>
        </w:rPr>
        <w:t xml:space="preserve"> C.1 Codes and Guidelines 1); C.1.1 General, Guidelines for the Validation of Food Hygiene Control Measures 2) </w:t>
      </w:r>
    </w:p>
    <w:p w14:paraId="1655109E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  <w:lang w:val="en-GB" w:eastAsia="zh-CN"/>
        </w:rPr>
      </w:pPr>
      <w:r w:rsidRPr="00DB72C7">
        <w:rPr>
          <w:rFonts w:cstheme="minorHAnsi"/>
          <w:sz w:val="24"/>
          <w:szCs w:val="24"/>
          <w:lang w:val="en-GB"/>
        </w:rPr>
        <w:t>Codex Alimentarius</w:t>
      </w:r>
      <w:r w:rsidRPr="00DB72C7">
        <w:rPr>
          <w:rFonts w:cstheme="minorHAnsi"/>
          <w:sz w:val="24"/>
          <w:szCs w:val="24"/>
          <w:lang w:val="en-GB" w:eastAsia="zh-CN"/>
        </w:rPr>
        <w:t xml:space="preserve"> C.1 Codes and Guidelines 1); C.1.1 General, Principles for the Application of Tractability/Product Tracing with respect to Food Inspection and Certification 2) </w:t>
      </w:r>
    </w:p>
    <w:p w14:paraId="586B4448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  <w:lang w:val="en-GB" w:eastAsia="zh-CN"/>
        </w:rPr>
      </w:pPr>
      <w:r w:rsidRPr="00DB72C7">
        <w:rPr>
          <w:rFonts w:cstheme="minorHAnsi"/>
          <w:sz w:val="24"/>
          <w:szCs w:val="24"/>
          <w:lang w:val="en-GB"/>
        </w:rPr>
        <w:t>Codex Alimentarius</w:t>
      </w:r>
      <w:r w:rsidRPr="00DB72C7">
        <w:rPr>
          <w:rFonts w:cstheme="minorHAnsi"/>
          <w:sz w:val="24"/>
          <w:szCs w:val="24"/>
          <w:lang w:val="en-GB" w:eastAsia="zh-CN"/>
        </w:rPr>
        <w:t xml:space="preserve"> C.1 Codes and Guidelines 1); C.1.1 General, Commodity Specific Codes and Guidelines </w:t>
      </w:r>
    </w:p>
    <w:p w14:paraId="2627518E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  <w:lang w:val="en-GB"/>
        </w:rPr>
      </w:pPr>
      <w:r w:rsidRPr="00DB72C7">
        <w:rPr>
          <w:rFonts w:cstheme="minorHAnsi"/>
          <w:sz w:val="24"/>
          <w:szCs w:val="24"/>
          <w:lang w:val="en-GB"/>
        </w:rPr>
        <w:t>Danish Standards Association. DS 3027:2002: Management of Food Safety Based on HACCP (Hazard Analysis and Critical Control Points) - Requirements for a Management System for Food Producing Organizations and their Suppliers, 2002.</w:t>
      </w:r>
    </w:p>
    <w:p w14:paraId="4D706E6E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  <w:lang w:val="en-GB"/>
        </w:rPr>
      </w:pPr>
      <w:r w:rsidRPr="00DB72C7">
        <w:rPr>
          <w:rFonts w:cstheme="minorHAnsi"/>
          <w:sz w:val="24"/>
          <w:szCs w:val="24"/>
          <w:lang w:val="en-GB"/>
        </w:rPr>
        <w:t>Dutch National Board of Experts. HACCP Criteria for the Assessment of an Operational HACCP-System, 2002.</w:t>
      </w:r>
    </w:p>
    <w:p w14:paraId="6D49547D" w14:textId="7B2921AB" w:rsidR="002E0270" w:rsidRPr="00DB72C7" w:rsidRDefault="002E0270" w:rsidP="002E0270">
      <w:pPr>
        <w:pStyle w:val="a5"/>
        <w:numPr>
          <w:ilvl w:val="0"/>
          <w:numId w:val="1"/>
        </w:numPr>
        <w:tabs>
          <w:tab w:val="clear" w:pos="720"/>
          <w:tab w:val="num" w:pos="-2280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DB72C7">
        <w:rPr>
          <w:rFonts w:asciiTheme="minorHAnsi" w:hAnsiTheme="minorHAnsi" w:cstheme="minorHAnsi"/>
          <w:lang w:val="en-GB"/>
        </w:rPr>
        <w:t xml:space="preserve">Food Quality and Safety Systems. (1998). A Training </w:t>
      </w:r>
      <w:r w:rsidR="00DB72C7" w:rsidRPr="00DB72C7">
        <w:rPr>
          <w:rFonts w:asciiTheme="minorHAnsi" w:hAnsiTheme="minorHAnsi" w:cstheme="minorHAnsi"/>
          <w:lang w:val="en-GB"/>
        </w:rPr>
        <w:t>Manual</w:t>
      </w:r>
      <w:r w:rsidRPr="00DB72C7">
        <w:rPr>
          <w:rFonts w:asciiTheme="minorHAnsi" w:hAnsiTheme="minorHAnsi" w:cstheme="minorHAnsi"/>
          <w:lang w:val="en-GB"/>
        </w:rPr>
        <w:t xml:space="preserve"> on Food Hygiene and the Hazard of the United Nations. FAO/UHO, Rome.</w:t>
      </w:r>
    </w:p>
    <w:p w14:paraId="313B3A25" w14:textId="77777777" w:rsidR="002E0270" w:rsidRPr="00DB72C7" w:rsidRDefault="002E0270" w:rsidP="002E0270">
      <w:pPr>
        <w:pStyle w:val="a5"/>
        <w:numPr>
          <w:ilvl w:val="0"/>
          <w:numId w:val="1"/>
        </w:numPr>
        <w:tabs>
          <w:tab w:val="clear" w:pos="720"/>
          <w:tab w:val="num" w:pos="-2280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DB72C7">
        <w:rPr>
          <w:rFonts w:asciiTheme="minorHAnsi" w:hAnsiTheme="minorHAnsi" w:cstheme="minorHAnsi"/>
          <w:lang w:val="en-GB"/>
        </w:rPr>
        <w:lastRenderedPageBreak/>
        <w:t>Hathaway, St. (1999). Management of Food Safety in International Trade, Food Control, 10 (4-5): 247-253.</w:t>
      </w:r>
    </w:p>
    <w:p w14:paraId="4832654C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left" w:pos="-3780"/>
          <w:tab w:val="left" w:pos="-34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  <w:lang w:val="en-GB"/>
        </w:rPr>
      </w:pPr>
      <w:r w:rsidRPr="00DB72C7">
        <w:rPr>
          <w:rFonts w:cstheme="minorHAnsi"/>
          <w:sz w:val="24"/>
          <w:szCs w:val="24"/>
          <w:lang w:val="en-GB"/>
        </w:rPr>
        <w:t>ISO 10003:2007(E): Quality management - Customer Satisfaction - Guidelines for Dispute Resolution External to Organizations (e-Standard), ASQ Quality Press, Milwaukee, WI 53203, USA, 2007.</w:t>
      </w:r>
    </w:p>
    <w:p w14:paraId="5064F5DE" w14:textId="2B3C5A9C" w:rsidR="002E0270" w:rsidRPr="00DB72C7" w:rsidRDefault="002E0270" w:rsidP="002E0270">
      <w:pPr>
        <w:pStyle w:val="a5"/>
        <w:numPr>
          <w:ilvl w:val="0"/>
          <w:numId w:val="1"/>
        </w:numPr>
        <w:tabs>
          <w:tab w:val="clear" w:pos="720"/>
          <w:tab w:val="num" w:pos="-2280"/>
        </w:tabs>
        <w:ind w:left="426" w:right="-208" w:hanging="426"/>
        <w:jc w:val="both"/>
        <w:rPr>
          <w:rFonts w:asciiTheme="minorHAnsi" w:hAnsiTheme="minorHAnsi" w:cstheme="minorHAnsi"/>
          <w:color w:val="0000FF"/>
          <w:u w:val="single"/>
          <w:lang w:val="en-GB"/>
        </w:rPr>
      </w:pPr>
      <w:r w:rsidRPr="00DB72C7">
        <w:rPr>
          <w:rFonts w:asciiTheme="minorHAnsi" w:hAnsiTheme="minorHAnsi" w:cstheme="minorHAnsi"/>
          <w:lang w:val="en-GB"/>
        </w:rPr>
        <w:t xml:space="preserve">Joint FAO/WHO Food Standards Programme. (2011). Codex Alimentarius Commission. </w:t>
      </w:r>
      <w:r w:rsidR="00DB72C7" w:rsidRPr="00DB72C7">
        <w:rPr>
          <w:rFonts w:asciiTheme="minorHAnsi" w:hAnsiTheme="minorHAnsi" w:cstheme="minorHAnsi"/>
          <w:lang w:val="en-GB"/>
        </w:rPr>
        <w:t>Procedural</w:t>
      </w:r>
      <w:r w:rsidRPr="00DB72C7">
        <w:rPr>
          <w:rFonts w:asciiTheme="minorHAnsi" w:hAnsiTheme="minorHAnsi" w:cstheme="minorHAnsi"/>
          <w:lang w:val="en-GB"/>
        </w:rPr>
        <w:t xml:space="preserve"> Manual, Twentieth edition. FAO/WHO, Roma. ISSN 1020-8070. </w:t>
      </w:r>
      <w:r w:rsidRPr="00DB72C7">
        <w:rPr>
          <w:rFonts w:asciiTheme="minorHAnsi" w:hAnsiTheme="minorHAnsi" w:cstheme="minorHAnsi"/>
          <w:color w:val="0000FF"/>
          <w:u w:val="single"/>
          <w:lang w:val="en-GB"/>
        </w:rPr>
        <w:t>ht</w:t>
      </w:r>
      <w:hyperlink r:id="rId16" w:history="1">
        <w:r w:rsidRPr="00DB72C7">
          <w:rPr>
            <w:rFonts w:asciiTheme="minorHAnsi" w:hAnsiTheme="minorHAnsi" w:cstheme="minorHAnsi"/>
            <w:color w:val="0000FF"/>
            <w:u w:val="single"/>
            <w:lang w:val="en-GB"/>
          </w:rPr>
          <w:t>tp://</w:t>
        </w:r>
      </w:hyperlink>
      <w:r w:rsidRPr="00DB72C7">
        <w:rPr>
          <w:rFonts w:asciiTheme="minorHAnsi" w:hAnsiTheme="minorHAnsi" w:cstheme="minorHAnsi"/>
          <w:color w:val="0000FF"/>
          <w:u w:val="single"/>
          <w:lang w:val="en-GB"/>
        </w:rPr>
        <w:t>ftp://ftp.fao.org/codex/Publications/ProcManuals/Manual_20e.pdf</w:t>
      </w:r>
    </w:p>
    <w:p w14:paraId="4C3916A5" w14:textId="456CD129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left" w:pos="-3780"/>
          <w:tab w:val="left" w:pos="-34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Style w:val="A70"/>
          <w:rFonts w:cstheme="minorHAnsi"/>
          <w:b w:val="0"/>
          <w:sz w:val="24"/>
          <w:szCs w:val="24"/>
          <w:lang w:val="en-GB"/>
        </w:rPr>
      </w:pPr>
      <w:r w:rsidRPr="00DB72C7">
        <w:rPr>
          <w:rFonts w:cstheme="minorHAnsi"/>
          <w:sz w:val="24"/>
          <w:szCs w:val="24"/>
          <w:lang w:val="en-GB" w:eastAsia="bg-BG"/>
        </w:rPr>
        <w:t>Kaziliunas, A. (2008). Problems of Auditing using Quality Management Systems for Sustainable Development of Organizations. Baltic Journal on Sustainability,14 (1): 64-75.</w:t>
      </w:r>
    </w:p>
    <w:p w14:paraId="45269F58" w14:textId="77777777" w:rsidR="002E0270" w:rsidRPr="00DB72C7" w:rsidRDefault="002E0270" w:rsidP="002E0270">
      <w:pPr>
        <w:pStyle w:val="a5"/>
        <w:numPr>
          <w:ilvl w:val="0"/>
          <w:numId w:val="1"/>
        </w:numPr>
        <w:tabs>
          <w:tab w:val="clear" w:pos="720"/>
          <w:tab w:val="num" w:pos="-2280"/>
        </w:tabs>
        <w:ind w:left="426" w:hanging="426"/>
        <w:jc w:val="both"/>
        <w:rPr>
          <w:rFonts w:asciiTheme="minorHAnsi" w:hAnsiTheme="minorHAnsi" w:cstheme="minorHAnsi"/>
          <w:color w:val="0000FF"/>
          <w:u w:val="single"/>
          <w:lang w:val="en-GB"/>
        </w:rPr>
      </w:pPr>
      <w:r w:rsidRPr="00DB72C7">
        <w:rPr>
          <w:rFonts w:asciiTheme="minorHAnsi" w:hAnsiTheme="minorHAnsi" w:cstheme="minorHAnsi"/>
          <w:lang w:val="en-GB"/>
        </w:rPr>
        <w:t xml:space="preserve">O’Donnel, C.D. (1994). Laying the Groundwork for HACCP, Prepared Foods, 163 (4): 49-50. </w:t>
      </w:r>
    </w:p>
    <w:p w14:paraId="75BBBFEB" w14:textId="2E084DD3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left" w:pos="-3780"/>
          <w:tab w:val="left" w:pos="-34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Style w:val="HTML"/>
          <w:rFonts w:cstheme="minorHAnsi"/>
          <w:sz w:val="24"/>
          <w:szCs w:val="24"/>
          <w:lang w:val="en-GB"/>
        </w:rPr>
      </w:pPr>
      <w:r w:rsidRPr="00DB72C7">
        <w:rPr>
          <w:rFonts w:cstheme="minorHAnsi"/>
          <w:sz w:val="24"/>
          <w:szCs w:val="24"/>
          <w:lang w:val="en-GB"/>
        </w:rPr>
        <w:t xml:space="preserve">Quality Management ISO 9001:2000, ISO/TS 16949:2002, and ISO 13485:2003 (2007). </w:t>
      </w:r>
      <w:r w:rsidR="00A07E51">
        <w:rPr>
          <w:rFonts w:cstheme="minorHAnsi"/>
          <w:sz w:val="24"/>
          <w:szCs w:val="24"/>
          <w:lang w:val="en-GB"/>
        </w:rPr>
        <w:t>C</w:t>
      </w:r>
      <w:r w:rsidRPr="00DB72C7">
        <w:rPr>
          <w:rFonts w:cstheme="minorHAnsi"/>
          <w:sz w:val="24"/>
          <w:szCs w:val="24"/>
          <w:lang w:val="en-GB"/>
        </w:rPr>
        <w:t xml:space="preserve">enter for Industrial Services, Tennessee, USA. </w:t>
      </w:r>
      <w:hyperlink r:id="rId17" w:history="1">
        <w:r w:rsidRPr="00DB72C7">
          <w:rPr>
            <w:rStyle w:val="a7"/>
            <w:rFonts w:cstheme="minorHAnsi"/>
            <w:sz w:val="24"/>
            <w:szCs w:val="24"/>
            <w:lang w:val="en-GB"/>
          </w:rPr>
          <w:t>www.cis.tennessee.edu</w:t>
        </w:r>
      </w:hyperlink>
    </w:p>
    <w:p w14:paraId="3EBE891E" w14:textId="77777777" w:rsidR="002E0270" w:rsidRPr="00DB72C7" w:rsidRDefault="002E0270" w:rsidP="002E0270">
      <w:pPr>
        <w:pStyle w:val="a5"/>
        <w:numPr>
          <w:ilvl w:val="0"/>
          <w:numId w:val="1"/>
        </w:numPr>
        <w:tabs>
          <w:tab w:val="clear" w:pos="720"/>
          <w:tab w:val="num" w:pos="-2280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DB72C7">
        <w:rPr>
          <w:rFonts w:asciiTheme="minorHAnsi" w:hAnsiTheme="minorHAnsi" w:cstheme="minorHAnsi"/>
          <w:lang w:val="en-GB"/>
        </w:rPr>
        <w:t xml:space="preserve">Recommended International Code of Hygienic Practices of Food Hygiene (1997). </w:t>
      </w:r>
      <w:smartTag w:uri="urn:schemas-microsoft-com:office:smarttags" w:element="stockticker">
        <w:r w:rsidRPr="00DB72C7">
          <w:rPr>
            <w:rFonts w:asciiTheme="minorHAnsi" w:hAnsiTheme="minorHAnsi" w:cstheme="minorHAnsi"/>
            <w:lang w:val="en-GB"/>
          </w:rPr>
          <w:t>CAC</w:t>
        </w:r>
      </w:smartTag>
      <w:r w:rsidRPr="00DB72C7">
        <w:rPr>
          <w:rFonts w:asciiTheme="minorHAnsi" w:hAnsiTheme="minorHAnsi" w:cstheme="minorHAnsi"/>
          <w:lang w:val="en-GB"/>
        </w:rPr>
        <w:t>/RCP 1-1969, Rev. 3. САС.</w:t>
      </w:r>
    </w:p>
    <w:p w14:paraId="2E9F095C" w14:textId="77777777" w:rsidR="002E0270" w:rsidRPr="00DB72C7" w:rsidRDefault="002E0270" w:rsidP="002E0270">
      <w:pPr>
        <w:pStyle w:val="a5"/>
        <w:numPr>
          <w:ilvl w:val="0"/>
          <w:numId w:val="1"/>
        </w:numPr>
        <w:tabs>
          <w:tab w:val="clear" w:pos="720"/>
          <w:tab w:val="num" w:pos="-2280"/>
        </w:tabs>
        <w:ind w:left="426" w:hanging="426"/>
        <w:jc w:val="both"/>
        <w:rPr>
          <w:rFonts w:asciiTheme="minorHAnsi" w:hAnsiTheme="minorHAnsi" w:cstheme="minorHAnsi"/>
          <w:color w:val="0000FF"/>
          <w:u w:val="single"/>
          <w:lang w:val="en-GB"/>
        </w:rPr>
      </w:pPr>
      <w:r w:rsidRPr="00DB72C7">
        <w:rPr>
          <w:rFonts w:asciiTheme="minorHAnsi" w:hAnsiTheme="minorHAnsi" w:cstheme="minorHAnsi"/>
          <w:lang w:val="en-GB"/>
        </w:rPr>
        <w:t>Scott, V. N. (1993). Implementation of HACCP in a Food Processing Plant. Journal of Food Protection, 56 (6): 548-554, 557.</w:t>
      </w:r>
    </w:p>
    <w:p w14:paraId="2636D083" w14:textId="77777777" w:rsidR="002E0270" w:rsidRPr="00DB72C7" w:rsidRDefault="002E0270" w:rsidP="002E0270">
      <w:pPr>
        <w:numPr>
          <w:ilvl w:val="0"/>
          <w:numId w:val="1"/>
        </w:numPr>
        <w:tabs>
          <w:tab w:val="clear" w:pos="720"/>
          <w:tab w:val="left" w:pos="-3780"/>
          <w:tab w:val="left" w:pos="-34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  <w:color w:val="0000FF"/>
          <w:sz w:val="24"/>
          <w:szCs w:val="24"/>
          <w:u w:val="single"/>
          <w:lang w:val="en-GB"/>
        </w:rPr>
      </w:pPr>
      <w:r w:rsidRPr="00DB72C7">
        <w:rPr>
          <w:rFonts w:cstheme="minorHAnsi"/>
          <w:iCs/>
          <w:sz w:val="24"/>
          <w:szCs w:val="24"/>
          <w:lang w:val="en-GB"/>
        </w:rPr>
        <w:t xml:space="preserve">Tague, N. R. (2005). </w:t>
      </w:r>
      <w:r w:rsidRPr="00DB72C7">
        <w:rPr>
          <w:rFonts w:cstheme="minorHAnsi"/>
          <w:sz w:val="24"/>
          <w:szCs w:val="24"/>
          <w:lang w:val="en-GB"/>
        </w:rPr>
        <w:t xml:space="preserve">The Quality Toolbox, Second Edition, American Society for Quality, ASQ Quality Press, Milwaukee, WI 53203, USA. ISBN 978-0-87389-639-9. 7 x 10. </w:t>
      </w:r>
      <w:r w:rsidRPr="00DB72C7">
        <w:rPr>
          <w:rFonts w:cstheme="minorHAnsi"/>
          <w:color w:val="0000FF"/>
          <w:sz w:val="24"/>
          <w:szCs w:val="24"/>
          <w:u w:val="single"/>
          <w:lang w:val="en-GB"/>
        </w:rPr>
        <w:t>Amazon.com</w:t>
      </w:r>
    </w:p>
    <w:p w14:paraId="1FE9ED03" w14:textId="77777777" w:rsidR="002E0270" w:rsidRPr="00DB72C7" w:rsidRDefault="009C5C93" w:rsidP="002E0270">
      <w:pPr>
        <w:numPr>
          <w:ilvl w:val="0"/>
          <w:numId w:val="1"/>
        </w:numPr>
        <w:tabs>
          <w:tab w:val="clear" w:pos="720"/>
          <w:tab w:val="left" w:pos="-3780"/>
          <w:tab w:val="left" w:pos="-3420"/>
          <w:tab w:val="num" w:pos="-22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  <w:color w:val="0000FF"/>
          <w:sz w:val="24"/>
          <w:szCs w:val="24"/>
          <w:u w:val="single"/>
          <w:lang w:val="en-GB"/>
        </w:rPr>
      </w:pPr>
      <w:hyperlink r:id="rId18" w:history="1">
        <w:r w:rsidR="002E0270" w:rsidRPr="00DB72C7">
          <w:rPr>
            <w:rStyle w:val="a7"/>
            <w:rFonts w:cstheme="minorHAnsi"/>
            <w:color w:val="auto"/>
            <w:sz w:val="24"/>
            <w:szCs w:val="24"/>
            <w:u w:val="none"/>
            <w:lang w:val="en-GB"/>
          </w:rPr>
          <w:t>Vanne</w:t>
        </w:r>
      </w:hyperlink>
      <w:hyperlink r:id="rId19" w:anchor="COR1" w:tooltip="Corresponding author contact information" w:history="1"/>
      <w:r w:rsidR="002E0270" w:rsidRPr="00DB72C7">
        <w:rPr>
          <w:rFonts w:cstheme="minorHAnsi"/>
          <w:sz w:val="24"/>
          <w:szCs w:val="24"/>
          <w:lang w:val="en-GB"/>
        </w:rPr>
        <w:t xml:space="preserve">, L., </w:t>
      </w:r>
      <w:hyperlink r:id="rId20" w:history="1">
        <w:r w:rsidR="002E0270" w:rsidRPr="00DB72C7">
          <w:rPr>
            <w:rStyle w:val="a7"/>
            <w:rFonts w:cstheme="minorHAnsi"/>
            <w:color w:val="auto"/>
            <w:sz w:val="24"/>
            <w:szCs w:val="24"/>
            <w:u w:val="none"/>
            <w:lang w:val="en-GB"/>
          </w:rPr>
          <w:t>M. Karwoski</w:t>
        </w:r>
      </w:hyperlink>
      <w:r w:rsidR="002E0270" w:rsidRPr="00DB72C7">
        <w:rPr>
          <w:rFonts w:cstheme="minorHAnsi"/>
          <w:sz w:val="24"/>
          <w:szCs w:val="24"/>
          <w:lang w:val="en-GB"/>
        </w:rPr>
        <w:t xml:space="preserve">, </w:t>
      </w:r>
      <w:hyperlink r:id="rId21" w:history="1">
        <w:r w:rsidR="002E0270" w:rsidRPr="00DB72C7">
          <w:rPr>
            <w:rStyle w:val="a7"/>
            <w:rFonts w:cstheme="minorHAnsi"/>
            <w:color w:val="auto"/>
            <w:sz w:val="24"/>
            <w:szCs w:val="24"/>
            <w:u w:val="none"/>
            <w:lang w:val="en-GB"/>
          </w:rPr>
          <w:t>S. Karppinen</w:t>
        </w:r>
      </w:hyperlink>
      <w:r w:rsidR="002E0270" w:rsidRPr="00DB72C7">
        <w:rPr>
          <w:rFonts w:cstheme="minorHAnsi"/>
          <w:sz w:val="24"/>
          <w:szCs w:val="24"/>
          <w:lang w:val="en-GB"/>
        </w:rPr>
        <w:t xml:space="preserve">, </w:t>
      </w:r>
      <w:hyperlink r:id="rId22" w:history="1">
        <w:r w:rsidR="002E0270" w:rsidRPr="00DB72C7">
          <w:rPr>
            <w:rStyle w:val="a7"/>
            <w:rFonts w:cstheme="minorHAnsi"/>
            <w:color w:val="auto"/>
            <w:sz w:val="24"/>
            <w:szCs w:val="24"/>
            <w:u w:val="none"/>
            <w:lang w:val="en-GB"/>
          </w:rPr>
          <w:t>A.-M. Sjöberg</w:t>
        </w:r>
      </w:hyperlink>
      <w:r w:rsidR="002E0270" w:rsidRPr="00DB72C7">
        <w:rPr>
          <w:rFonts w:cstheme="minorHAnsi"/>
          <w:sz w:val="24"/>
          <w:szCs w:val="24"/>
          <w:lang w:val="en-GB"/>
        </w:rPr>
        <w:t xml:space="preserve"> (1996). HACCP-Based Food Quality Control and Rapid Detection Methods for Microorganisms. Review. </w:t>
      </w:r>
      <w:hyperlink r:id="rId23" w:tooltip="Go to Food Control on ScienceDirect" w:history="1">
        <w:r w:rsidR="002E0270" w:rsidRPr="00DB72C7">
          <w:rPr>
            <w:rStyle w:val="a7"/>
            <w:rFonts w:cstheme="minorHAnsi"/>
            <w:sz w:val="24"/>
            <w:szCs w:val="24"/>
            <w:lang w:val="en-GB"/>
          </w:rPr>
          <w:t>Food Control</w:t>
        </w:r>
      </w:hyperlink>
      <w:r w:rsidR="002E0270" w:rsidRPr="00DB72C7">
        <w:rPr>
          <w:rFonts w:cstheme="minorHAnsi"/>
          <w:sz w:val="24"/>
          <w:szCs w:val="24"/>
          <w:lang w:val="en-GB"/>
        </w:rPr>
        <w:t xml:space="preserve">, </w:t>
      </w:r>
      <w:hyperlink r:id="rId24" w:tooltip="Go to table of contents for this volume/issue" w:history="1">
        <w:r w:rsidR="002E0270" w:rsidRPr="00DB72C7">
          <w:rPr>
            <w:rStyle w:val="a7"/>
            <w:rFonts w:cstheme="minorHAnsi"/>
            <w:sz w:val="24"/>
            <w:szCs w:val="24"/>
            <w:lang w:val="en-GB"/>
          </w:rPr>
          <w:t>7 (6):</w:t>
        </w:r>
      </w:hyperlink>
      <w:r w:rsidR="002E0270" w:rsidRPr="00DB72C7">
        <w:rPr>
          <w:rFonts w:cstheme="minorHAnsi"/>
          <w:sz w:val="24"/>
          <w:szCs w:val="24"/>
          <w:lang w:val="en-GB"/>
        </w:rPr>
        <w:t xml:space="preserve"> 263-276. </w:t>
      </w:r>
      <w:hyperlink r:id="rId25" w:tgtFrame="doilink" w:history="1">
        <w:r w:rsidR="002E0270" w:rsidRPr="00DB72C7">
          <w:rPr>
            <w:rStyle w:val="a7"/>
            <w:rFonts w:cstheme="minorHAnsi"/>
            <w:sz w:val="24"/>
            <w:szCs w:val="24"/>
            <w:lang w:val="en-GB"/>
          </w:rPr>
          <w:t>doi:10.1016/S0956-7135(96)00064-3</w:t>
        </w:r>
      </w:hyperlink>
    </w:p>
    <w:p w14:paraId="6C364123" w14:textId="77777777" w:rsidR="002E0270" w:rsidRPr="004A59E4" w:rsidRDefault="002E0270" w:rsidP="002E0270">
      <w:pPr>
        <w:tabs>
          <w:tab w:val="left" w:pos="-3780"/>
          <w:tab w:val="left" w:pos="-3420"/>
          <w:tab w:val="left" w:pos="-2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theme="minorHAnsi"/>
          <w:color w:val="0000FF"/>
          <w:u w:val="single"/>
          <w:lang w:val="en-GB"/>
        </w:rPr>
      </w:pPr>
    </w:p>
    <w:p w14:paraId="786DCCA1" w14:textId="77777777" w:rsidR="002E0270" w:rsidRPr="004A59E4" w:rsidRDefault="002E0270" w:rsidP="002E0270">
      <w:pPr>
        <w:ind w:left="3600" w:firstLine="369"/>
        <w:rPr>
          <w:rFonts w:cstheme="minorHAnsi"/>
          <w:lang w:val="en-GB"/>
        </w:rPr>
      </w:pPr>
    </w:p>
    <w:p w14:paraId="27503281" w14:textId="77777777" w:rsidR="002E0270" w:rsidRPr="004A59E4" w:rsidRDefault="003321E1" w:rsidP="002E0270">
      <w:pPr>
        <w:ind w:left="3600" w:firstLine="369"/>
        <w:rPr>
          <w:rFonts w:cstheme="minorHAnsi"/>
          <w:lang w:val="en-GB"/>
        </w:rPr>
      </w:pPr>
      <w:r w:rsidRPr="004A59E4">
        <w:rPr>
          <w:rFonts w:cstheme="minorHAnsi"/>
          <w:lang w:val="en-GB"/>
        </w:rPr>
        <w:t>Autor</w:t>
      </w:r>
      <w:r w:rsidR="002E0270" w:rsidRPr="004A59E4">
        <w:rPr>
          <w:rFonts w:cstheme="minorHAnsi"/>
          <w:lang w:val="en-GB"/>
        </w:rPr>
        <w:t>:</w:t>
      </w:r>
    </w:p>
    <w:p w14:paraId="4AAE35A3" w14:textId="77777777" w:rsidR="003321E1" w:rsidRPr="004A59E4" w:rsidRDefault="002E0270" w:rsidP="003321E1">
      <w:pPr>
        <w:spacing w:after="0" w:line="240" w:lineRule="auto"/>
        <w:ind w:left="4321"/>
        <w:rPr>
          <w:lang w:val="en-GB"/>
        </w:rPr>
      </w:pPr>
      <w:r w:rsidRPr="004A59E4">
        <w:rPr>
          <w:rFonts w:cstheme="minorHAnsi"/>
          <w:lang w:val="en-GB"/>
        </w:rPr>
        <w:t>(</w:t>
      </w:r>
      <w:r w:rsidR="003321E1" w:rsidRPr="004A59E4">
        <w:rPr>
          <w:lang w:val="en-GB"/>
        </w:rPr>
        <w:t>Prof. Stefan Dragoev, DSc.)</w:t>
      </w:r>
    </w:p>
    <w:p w14:paraId="184C7F97" w14:textId="77777777" w:rsidR="002E0270" w:rsidRPr="004A59E4" w:rsidRDefault="002E0270" w:rsidP="002E0270">
      <w:pPr>
        <w:ind w:left="4320"/>
        <w:rPr>
          <w:lang w:val="en-GB"/>
        </w:rPr>
      </w:pPr>
    </w:p>
    <w:p w14:paraId="49C7815F" w14:textId="77777777" w:rsidR="002E0270" w:rsidRPr="004A59E4" w:rsidRDefault="002E0270" w:rsidP="002E0270">
      <w:pPr>
        <w:rPr>
          <w:lang w:val="en-GB"/>
        </w:rPr>
      </w:pPr>
    </w:p>
    <w:p w14:paraId="05BAF83A" w14:textId="2A3ED827" w:rsidR="002E0270" w:rsidRPr="004A59E4" w:rsidRDefault="003321E1" w:rsidP="002E0270">
      <w:pPr>
        <w:rPr>
          <w:lang w:val="en-GB"/>
        </w:rPr>
      </w:pPr>
      <w:r w:rsidRPr="004A59E4">
        <w:rPr>
          <w:lang w:val="en-GB"/>
        </w:rPr>
        <w:t>Accepted from Faculty Council with Protocol</w:t>
      </w:r>
      <w:r w:rsidR="002E0270" w:rsidRPr="004A59E4">
        <w:rPr>
          <w:lang w:val="en-GB"/>
        </w:rPr>
        <w:t xml:space="preserve"> №         </w:t>
      </w:r>
      <w:r w:rsidRPr="004A59E4">
        <w:rPr>
          <w:lang w:val="en-GB"/>
        </w:rPr>
        <w:t>/</w:t>
      </w:r>
      <w:r w:rsidR="002E0270" w:rsidRPr="004A59E4">
        <w:rPr>
          <w:lang w:val="en-GB"/>
        </w:rPr>
        <w:t xml:space="preserve">             20</w:t>
      </w:r>
      <w:r w:rsidR="00DB72C7">
        <w:rPr>
          <w:lang w:val="en-GB"/>
        </w:rPr>
        <w:t>21</w:t>
      </w:r>
      <w:r w:rsidR="002E0270" w:rsidRPr="004A59E4">
        <w:rPr>
          <w:lang w:val="en-GB"/>
        </w:rPr>
        <w:t xml:space="preserve"> г.</w:t>
      </w:r>
    </w:p>
    <w:p w14:paraId="70D16CF5" w14:textId="77777777" w:rsidR="002E0270" w:rsidRPr="004A59E4" w:rsidRDefault="002E0270" w:rsidP="002E0270">
      <w:pPr>
        <w:rPr>
          <w:lang w:val="en-GB"/>
        </w:rPr>
      </w:pPr>
    </w:p>
    <w:p w14:paraId="2D4DF36F" w14:textId="77777777" w:rsidR="002E0270" w:rsidRPr="004A59E4" w:rsidRDefault="002E0270" w:rsidP="002E0270">
      <w:pPr>
        <w:rPr>
          <w:lang w:val="en-GB"/>
        </w:rPr>
      </w:pPr>
      <w:r w:rsidRPr="004A59E4">
        <w:rPr>
          <w:lang w:val="en-GB"/>
        </w:rPr>
        <w:t xml:space="preserve">                                                                 </w:t>
      </w:r>
      <w:r w:rsidR="003321E1" w:rsidRPr="004A59E4">
        <w:rPr>
          <w:lang w:val="en-GB"/>
        </w:rPr>
        <w:t>Dean</w:t>
      </w:r>
      <w:r w:rsidRPr="004A59E4">
        <w:rPr>
          <w:lang w:val="en-GB"/>
        </w:rPr>
        <w:t>:</w:t>
      </w:r>
    </w:p>
    <w:p w14:paraId="2280A9B1" w14:textId="53D00924" w:rsidR="002E0270" w:rsidRPr="004A59E4" w:rsidRDefault="002E0270" w:rsidP="002E0270">
      <w:pPr>
        <w:rPr>
          <w:lang w:val="en-GB"/>
        </w:rPr>
      </w:pPr>
      <w:r w:rsidRPr="004A59E4">
        <w:rPr>
          <w:lang w:val="en-GB"/>
        </w:rPr>
        <w:t xml:space="preserve">                                                                                           (</w:t>
      </w:r>
      <w:r w:rsidR="00DB72C7">
        <w:rPr>
          <w:lang w:val="en-GB"/>
        </w:rPr>
        <w:t>……………………………………………</w:t>
      </w:r>
      <w:r w:rsidRPr="004A59E4">
        <w:rPr>
          <w:lang w:val="en-GB"/>
        </w:rPr>
        <w:t>)</w:t>
      </w:r>
    </w:p>
    <w:p w14:paraId="369B8087" w14:textId="77777777" w:rsidR="002E0270" w:rsidRPr="004A59E4" w:rsidRDefault="002E0270" w:rsidP="002E0270">
      <w:pPr>
        <w:rPr>
          <w:lang w:val="en-GB"/>
        </w:rPr>
      </w:pPr>
    </w:p>
    <w:sectPr w:rsidR="002E0270" w:rsidRPr="004A59E4" w:rsidSect="004D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TC Officina Sans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2147"/>
    <w:multiLevelType w:val="hybridMultilevel"/>
    <w:tmpl w:val="55645566"/>
    <w:lvl w:ilvl="0" w:tplc="7FAA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71125"/>
    <w:multiLevelType w:val="hybridMultilevel"/>
    <w:tmpl w:val="1610C54A"/>
    <w:lvl w:ilvl="0" w:tplc="3A729B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05A32"/>
    <w:multiLevelType w:val="hybridMultilevel"/>
    <w:tmpl w:val="2CD8B49E"/>
    <w:lvl w:ilvl="0" w:tplc="BFF6F5D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FF0"/>
    <w:rsid w:val="000F64A3"/>
    <w:rsid w:val="00192099"/>
    <w:rsid w:val="002E0270"/>
    <w:rsid w:val="003321E1"/>
    <w:rsid w:val="004A59E4"/>
    <w:rsid w:val="004D2F11"/>
    <w:rsid w:val="0056064D"/>
    <w:rsid w:val="008C34A9"/>
    <w:rsid w:val="008C6FF0"/>
    <w:rsid w:val="008F342A"/>
    <w:rsid w:val="009C5C93"/>
    <w:rsid w:val="00A07E51"/>
    <w:rsid w:val="00DB72C7"/>
    <w:rsid w:val="00E40AB6"/>
    <w:rsid w:val="00E91B33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9E9BE93"/>
  <w15:docId w15:val="{0052E2A7-6C22-48CE-B616-55EFD95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qFormat/>
    <w:rsid w:val="002E0270"/>
    <w:rPr>
      <w:b/>
      <w:bCs/>
    </w:rPr>
  </w:style>
  <w:style w:type="paragraph" w:customStyle="1" w:styleId="FR2">
    <w:name w:val="FR2"/>
    <w:rsid w:val="002E0270"/>
    <w:pPr>
      <w:widowControl w:val="0"/>
      <w:autoSpaceDE w:val="0"/>
      <w:autoSpaceDN w:val="0"/>
      <w:adjustRightInd w:val="0"/>
      <w:spacing w:before="1340" w:after="0" w:line="260" w:lineRule="auto"/>
      <w:ind w:right="1200"/>
    </w:pPr>
    <w:rPr>
      <w:rFonts w:ascii="Arial" w:eastAsia="SimSun" w:hAnsi="Arial" w:cs="Arial"/>
      <w:b/>
      <w:bCs/>
      <w:sz w:val="28"/>
      <w:szCs w:val="28"/>
      <w:lang w:val="en-US" w:eastAsia="ja-JP"/>
    </w:rPr>
  </w:style>
  <w:style w:type="paragraph" w:styleId="a5">
    <w:name w:val="Body Text Indent"/>
    <w:basedOn w:val="a"/>
    <w:link w:val="a6"/>
    <w:rsid w:val="002E027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с отстъп Знак"/>
    <w:basedOn w:val="a0"/>
    <w:link w:val="a5"/>
    <w:rsid w:val="002E027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2E0270"/>
    <w:rPr>
      <w:color w:val="0000FF"/>
      <w:u w:val="single"/>
    </w:rPr>
  </w:style>
  <w:style w:type="character" w:styleId="HTML">
    <w:name w:val="HTML Cite"/>
    <w:basedOn w:val="a0"/>
    <w:rsid w:val="002E0270"/>
    <w:rPr>
      <w:i/>
      <w:iCs/>
    </w:rPr>
  </w:style>
  <w:style w:type="paragraph" w:customStyle="1" w:styleId="aligncenter">
    <w:name w:val="aligncenter"/>
    <w:basedOn w:val="a"/>
    <w:rsid w:val="002E02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Hyperlink13">
    <w:name w:val="Hyperlink13"/>
    <w:basedOn w:val="a0"/>
    <w:rsid w:val="002E0270"/>
    <w:rPr>
      <w:color w:val="663366"/>
      <w:u w:val="single"/>
    </w:rPr>
  </w:style>
  <w:style w:type="character" w:customStyle="1" w:styleId="A70">
    <w:name w:val="A7"/>
    <w:rsid w:val="002E0270"/>
    <w:rPr>
      <w:rFonts w:cs="ITC Officina Sans Book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fao.org/codex/standard/Fh_basic_e.pdf" TargetMode="External"/><Relationship Id="rId13" Type="http://schemas.openxmlformats.org/officeDocument/2006/relationships/hyperlink" Target="http://www.ingentaconnect.com/content/mcb/106;jsessionid=1mbaolj6l0b58.alice" TargetMode="External"/><Relationship Id="rId18" Type="http://schemas.openxmlformats.org/officeDocument/2006/relationships/hyperlink" Target="http://www.sciencedirect.com/science/article/pii/S095671359600064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956713596000643" TargetMode="External"/><Relationship Id="rId7" Type="http://schemas.openxmlformats.org/officeDocument/2006/relationships/hyperlink" Target="https://doi.org/10.1108/09544780410511443" TargetMode="External"/><Relationship Id="rId12" Type="http://schemas.openxmlformats.org/officeDocument/2006/relationships/hyperlink" Target="http://www.portal.cbre.eu/workspace/documents/QMS_UPTODATE_V2.%20pdf" TargetMode="External"/><Relationship Id="rId17" Type="http://schemas.openxmlformats.org/officeDocument/2006/relationships/hyperlink" Target="http://www.cis.tennessee.edu" TargetMode="External"/><Relationship Id="rId25" Type="http://schemas.openxmlformats.org/officeDocument/2006/relationships/hyperlink" Target="http://dx.doi.org/10.1016/S0956-7135%2896%2900064-3" TargetMode="External"/><Relationship Id="rId2" Type="http://schemas.openxmlformats.org/officeDocument/2006/relationships/styles" Target="styles.xml"/><Relationship Id="rId16" Type="http://schemas.openxmlformats.org/officeDocument/2006/relationships/hyperlink" Target="ftp://ftp.fao.org/codex/standard/Fh_basic_e.pdf" TargetMode="External"/><Relationship Id="rId20" Type="http://schemas.openxmlformats.org/officeDocument/2006/relationships/hyperlink" Target="http://www.sciencedirect.com/science/article/pii/S09567135960006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gentaconnect.com/content/mcb/106;jsessionid=1mbaolj6l0b58.alice" TargetMode="External"/><Relationship Id="rId11" Type="http://schemas.openxmlformats.org/officeDocument/2006/relationships/hyperlink" Target="https://asq.org/quality-resources/webcasts/iso-19011-its-changing-who-cares-webcast?id=d295ed4773244ef68c42128590ab2415" TargetMode="External"/><Relationship Id="rId24" Type="http://schemas.openxmlformats.org/officeDocument/2006/relationships/hyperlink" Target="http://www.sciencedirect.com/science/journal/09567135/7/6" TargetMode="External"/><Relationship Id="rId5" Type="http://schemas.openxmlformats.org/officeDocument/2006/relationships/hyperlink" Target="http://www.portal.cbre.eu/workspace/documents/QMS_UPTODATE_V2.pdf" TargetMode="External"/><Relationship Id="rId15" Type="http://schemas.openxmlformats.org/officeDocument/2006/relationships/hyperlink" Target="http://www.codexalimentarius.net/STANDARD/%20standard.htm" TargetMode="External"/><Relationship Id="rId23" Type="http://schemas.openxmlformats.org/officeDocument/2006/relationships/hyperlink" Target="http://www.sciencedirect.com/science/journal/09567135" TargetMode="External"/><Relationship Id="rId10" Type="http://schemas.openxmlformats.org/officeDocument/2006/relationships/hyperlink" Target="http://ejournal.polbeng.ac.id/index.php/IBP/article/view/1213/563" TargetMode="External"/><Relationship Id="rId19" Type="http://schemas.openxmlformats.org/officeDocument/2006/relationships/hyperlink" Target="http://www.sciencedirect.com/science/article/pii/S0956713596000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09567135/7/6" TargetMode="External"/><Relationship Id="rId14" Type="http://schemas.openxmlformats.org/officeDocument/2006/relationships/hyperlink" Target="http://www.ingentaconnect.com/content/mcb;jsessionid=1mbaolj6l0b58.alice" TargetMode="External"/><Relationship Id="rId22" Type="http://schemas.openxmlformats.org/officeDocument/2006/relationships/hyperlink" Target="http://www.sciencedirect.com/science/article/pii/S09567135960006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Dragoev</cp:lastModifiedBy>
  <cp:revision>10</cp:revision>
  <dcterms:created xsi:type="dcterms:W3CDTF">2016-11-07T08:54:00Z</dcterms:created>
  <dcterms:modified xsi:type="dcterms:W3CDTF">2021-10-10T15:58:00Z</dcterms:modified>
</cp:coreProperties>
</file>