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6FCF" w14:textId="0113EDD1" w:rsidR="008D1DD5" w:rsidRPr="00263E9F" w:rsidRDefault="00BB2477" w:rsidP="00BB2477">
      <w:pPr>
        <w:jc w:val="center"/>
        <w:rPr>
          <w:rFonts w:cstheme="minorHAnsi"/>
          <w:b/>
          <w:bCs/>
          <w:sz w:val="24"/>
          <w:szCs w:val="24"/>
        </w:rPr>
      </w:pPr>
      <w:r w:rsidRPr="00263E9F">
        <w:rPr>
          <w:rFonts w:cstheme="minorHAnsi"/>
          <w:b/>
          <w:bCs/>
          <w:sz w:val="24"/>
          <w:szCs w:val="24"/>
        </w:rPr>
        <w:t>Βιβλιογραφικές εργασίες 202</w:t>
      </w:r>
      <w:r w:rsidR="00F1065B">
        <w:rPr>
          <w:rFonts w:cstheme="minorHAnsi"/>
          <w:b/>
          <w:bCs/>
          <w:sz w:val="24"/>
          <w:szCs w:val="24"/>
        </w:rPr>
        <w:t>3</w:t>
      </w:r>
      <w:r w:rsidRPr="00263E9F">
        <w:rPr>
          <w:rFonts w:cstheme="minorHAnsi"/>
          <w:b/>
          <w:bCs/>
          <w:sz w:val="24"/>
          <w:szCs w:val="24"/>
        </w:rPr>
        <w:t>-2</w:t>
      </w:r>
      <w:r w:rsidR="00F1065B">
        <w:rPr>
          <w:rFonts w:cstheme="minorHAnsi"/>
          <w:b/>
          <w:bCs/>
          <w:sz w:val="24"/>
          <w:szCs w:val="24"/>
        </w:rPr>
        <w:t>4</w:t>
      </w:r>
    </w:p>
    <w:p w14:paraId="2AD98BED" w14:textId="40B05CDF" w:rsidR="001C16C1" w:rsidRPr="00263E9F" w:rsidRDefault="001C16C1" w:rsidP="001C16C1">
      <w:pPr>
        <w:rPr>
          <w:rFonts w:cstheme="minorHAnsi"/>
          <w:sz w:val="24"/>
          <w:szCs w:val="24"/>
        </w:rPr>
      </w:pPr>
    </w:p>
    <w:p w14:paraId="48E7AE61" w14:textId="76282419" w:rsidR="00D06015" w:rsidRPr="00263E9F" w:rsidRDefault="00D06015" w:rsidP="00D06015">
      <w:pPr>
        <w:pStyle w:val="a3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63E9F">
        <w:rPr>
          <w:rFonts w:cstheme="minorHAnsi"/>
          <w:b/>
          <w:bCs/>
          <w:sz w:val="24"/>
          <w:szCs w:val="24"/>
        </w:rPr>
        <w:t xml:space="preserve">Ανάλυση σχολικών βιβλίων για κλάσματα στο δημοτικό </w:t>
      </w:r>
    </w:p>
    <w:p w14:paraId="7CFDCB6A" w14:textId="45E2274E" w:rsidR="00D06015" w:rsidRPr="00263E9F" w:rsidRDefault="00D06015" w:rsidP="00D06015">
      <w:pPr>
        <w:jc w:val="both"/>
        <w:rPr>
          <w:rFonts w:cstheme="minorHAnsi"/>
          <w:sz w:val="24"/>
          <w:szCs w:val="24"/>
        </w:rPr>
      </w:pPr>
      <w:r w:rsidRPr="00263E9F">
        <w:rPr>
          <w:rFonts w:cstheme="minorHAnsi"/>
          <w:sz w:val="24"/>
          <w:szCs w:val="24"/>
        </w:rPr>
        <w:t xml:space="preserve">Θα παρουσιαστεί η μέθοδος για την ανάλυση των σχολικών βιβλίων που χρησιμοποιείται στο άρθρο των </w:t>
      </w:r>
      <w:r w:rsidR="003C30E4" w:rsidRPr="00263E9F">
        <w:rPr>
          <w:rFonts w:cstheme="minorHAnsi"/>
          <w:sz w:val="24"/>
          <w:szCs w:val="24"/>
          <w:lang w:val="en-US"/>
        </w:rPr>
        <w:t>Charalambous</w:t>
      </w:r>
      <w:r w:rsidR="003C30E4" w:rsidRPr="00263E9F">
        <w:rPr>
          <w:rFonts w:cstheme="minorHAnsi"/>
          <w:sz w:val="24"/>
          <w:szCs w:val="24"/>
        </w:rPr>
        <w:t xml:space="preserve">, </w:t>
      </w:r>
      <w:r w:rsidR="003C30E4" w:rsidRPr="00263E9F">
        <w:rPr>
          <w:rFonts w:cstheme="minorHAnsi"/>
          <w:sz w:val="24"/>
          <w:szCs w:val="24"/>
          <w:lang w:val="en-US"/>
        </w:rPr>
        <w:t>Delaney</w:t>
      </w:r>
      <w:r w:rsidR="003C30E4" w:rsidRPr="00263E9F">
        <w:rPr>
          <w:rFonts w:cstheme="minorHAnsi"/>
          <w:sz w:val="24"/>
          <w:szCs w:val="24"/>
        </w:rPr>
        <w:t xml:space="preserve">, </w:t>
      </w:r>
      <w:r w:rsidR="003C30E4" w:rsidRPr="00263E9F">
        <w:rPr>
          <w:rFonts w:cstheme="minorHAnsi"/>
          <w:sz w:val="24"/>
          <w:szCs w:val="24"/>
          <w:lang w:val="en-US"/>
        </w:rPr>
        <w:t>Hsu</w:t>
      </w:r>
      <w:r w:rsidR="003C30E4" w:rsidRPr="00263E9F">
        <w:rPr>
          <w:rFonts w:cstheme="minorHAnsi"/>
          <w:sz w:val="24"/>
          <w:szCs w:val="24"/>
        </w:rPr>
        <w:t xml:space="preserve">, </w:t>
      </w:r>
      <w:r w:rsidR="003C30E4" w:rsidRPr="00263E9F">
        <w:rPr>
          <w:rFonts w:cstheme="minorHAnsi"/>
          <w:sz w:val="24"/>
          <w:szCs w:val="24"/>
          <w:lang w:val="en-US"/>
        </w:rPr>
        <w:t>H</w:t>
      </w:r>
      <w:r w:rsidR="003C30E4" w:rsidRPr="00263E9F">
        <w:rPr>
          <w:rFonts w:cstheme="minorHAnsi"/>
          <w:sz w:val="24"/>
          <w:szCs w:val="24"/>
        </w:rPr>
        <w:t>.-</w:t>
      </w:r>
      <w:r w:rsidR="003C30E4" w:rsidRPr="00263E9F">
        <w:rPr>
          <w:rFonts w:cstheme="minorHAnsi"/>
          <w:sz w:val="24"/>
          <w:szCs w:val="24"/>
          <w:lang w:val="en-US"/>
        </w:rPr>
        <w:t>Y</w:t>
      </w:r>
      <w:r w:rsidR="003C30E4" w:rsidRPr="00263E9F">
        <w:rPr>
          <w:rFonts w:cstheme="minorHAnsi"/>
          <w:sz w:val="24"/>
          <w:szCs w:val="24"/>
        </w:rPr>
        <w:t>.</w:t>
      </w:r>
      <w:r w:rsidRPr="00263E9F">
        <w:rPr>
          <w:rFonts w:cstheme="minorHAnsi"/>
          <w:sz w:val="24"/>
          <w:szCs w:val="24"/>
        </w:rPr>
        <w:t>,</w:t>
      </w:r>
      <w:r w:rsidR="003C30E4" w:rsidRPr="00263E9F">
        <w:rPr>
          <w:rFonts w:cstheme="minorHAnsi"/>
          <w:sz w:val="24"/>
          <w:szCs w:val="24"/>
        </w:rPr>
        <w:t xml:space="preserve"> </w:t>
      </w:r>
      <w:r w:rsidR="003C30E4" w:rsidRPr="00263E9F">
        <w:rPr>
          <w:rFonts w:cstheme="minorHAnsi"/>
          <w:sz w:val="24"/>
          <w:szCs w:val="24"/>
          <w:lang w:val="en-US"/>
        </w:rPr>
        <w:t>Mesa</w:t>
      </w:r>
      <w:r w:rsidR="003C30E4" w:rsidRPr="00263E9F">
        <w:rPr>
          <w:rFonts w:cstheme="minorHAnsi"/>
          <w:sz w:val="24"/>
          <w:szCs w:val="24"/>
        </w:rPr>
        <w:t>, (2010).</w:t>
      </w:r>
      <w:r w:rsidRPr="00263E9F">
        <w:rPr>
          <w:rFonts w:cstheme="minorHAnsi"/>
          <w:sz w:val="24"/>
          <w:szCs w:val="24"/>
        </w:rPr>
        <w:t xml:space="preserve"> Ως εμπειρικό μέρος θα προστεθεί η ανάλυση του ελληνικού σχολικού βιβλίου (θα δούμε ποιο βιβλίο αντιστοιχεί).  </w:t>
      </w:r>
    </w:p>
    <w:p w14:paraId="64A289D8" w14:textId="77777777" w:rsidR="00D06015" w:rsidRPr="00263E9F" w:rsidRDefault="00D06015" w:rsidP="00D06015">
      <w:pPr>
        <w:jc w:val="both"/>
        <w:rPr>
          <w:rFonts w:cstheme="minorHAnsi"/>
          <w:b/>
          <w:bCs/>
          <w:sz w:val="24"/>
          <w:szCs w:val="24"/>
          <w:lang w:val="en-US"/>
        </w:rPr>
      </w:pPr>
      <w:bookmarkStart w:id="0" w:name="_Hlk53767188"/>
      <w:r w:rsidRPr="00263E9F">
        <w:rPr>
          <w:rFonts w:cstheme="minorHAnsi"/>
          <w:b/>
          <w:bCs/>
          <w:sz w:val="24"/>
          <w:szCs w:val="24"/>
        </w:rPr>
        <w:t>Βιβλιογραφία</w:t>
      </w:r>
      <w:bookmarkEnd w:id="0"/>
      <w:r w:rsidRPr="00263E9F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100ABF72" w14:textId="4ABEC38A" w:rsidR="00D06015" w:rsidRPr="00263E9F" w:rsidRDefault="003C30E4" w:rsidP="00D06015">
      <w:pPr>
        <w:jc w:val="both"/>
        <w:rPr>
          <w:rFonts w:cstheme="minorHAnsi"/>
          <w:sz w:val="24"/>
          <w:szCs w:val="24"/>
          <w:lang w:val="en-US"/>
        </w:rPr>
      </w:pPr>
      <w:r w:rsidRPr="00263E9F">
        <w:rPr>
          <w:rFonts w:cstheme="minorHAnsi"/>
          <w:sz w:val="24"/>
          <w:szCs w:val="24"/>
          <w:lang w:val="en-US"/>
        </w:rPr>
        <w:t xml:space="preserve">Charalambous, C. Y., Delaney, S., Hsu, H.-Y., &amp; Mesa, V. (2010). A comparative analysis of the addition and subtraction of fractions in textbooks from three countries. </w:t>
      </w:r>
      <w:r w:rsidRPr="00263E9F">
        <w:rPr>
          <w:rFonts w:cstheme="minorHAnsi"/>
          <w:i/>
          <w:iCs/>
          <w:sz w:val="24"/>
          <w:szCs w:val="24"/>
          <w:lang w:val="en-US"/>
        </w:rPr>
        <w:t>Mathematical Thinking and Learning, 12</w:t>
      </w:r>
      <w:r w:rsidRPr="00263E9F">
        <w:rPr>
          <w:rFonts w:cstheme="minorHAnsi"/>
          <w:sz w:val="24"/>
          <w:szCs w:val="24"/>
          <w:lang w:val="en-US"/>
        </w:rPr>
        <w:t>(2), 117–151.</w:t>
      </w:r>
    </w:p>
    <w:p w14:paraId="41216BFE" w14:textId="77777777" w:rsidR="00D956B2" w:rsidRPr="00263E9F" w:rsidRDefault="00D956B2" w:rsidP="00277DF3">
      <w:pPr>
        <w:jc w:val="both"/>
        <w:rPr>
          <w:rFonts w:cstheme="minorHAnsi"/>
          <w:b/>
          <w:bCs/>
          <w:sz w:val="24"/>
          <w:szCs w:val="24"/>
        </w:rPr>
      </w:pPr>
    </w:p>
    <w:p w14:paraId="3B788E55" w14:textId="149E0E90" w:rsidR="00277DF3" w:rsidRPr="00263E9F" w:rsidRDefault="00D956B2" w:rsidP="00D956B2">
      <w:pPr>
        <w:pStyle w:val="a3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263E9F">
        <w:rPr>
          <w:rFonts w:cstheme="minorHAnsi"/>
          <w:b/>
          <w:bCs/>
          <w:sz w:val="24"/>
          <w:szCs w:val="24"/>
        </w:rPr>
        <w:t xml:space="preserve">Εκπαίδευση </w:t>
      </w:r>
      <w:r w:rsidRPr="00263E9F">
        <w:rPr>
          <w:rFonts w:cstheme="minorHAnsi"/>
          <w:b/>
          <w:bCs/>
          <w:sz w:val="24"/>
          <w:szCs w:val="24"/>
          <w:lang w:val="en-US"/>
        </w:rPr>
        <w:t xml:space="preserve">STEM </w:t>
      </w:r>
      <w:r w:rsidRPr="00263E9F">
        <w:rPr>
          <w:rFonts w:cstheme="minorHAnsi"/>
          <w:b/>
          <w:bCs/>
          <w:sz w:val="24"/>
          <w:szCs w:val="24"/>
        </w:rPr>
        <w:t xml:space="preserve">και μαθηματική μοντελοποίηση </w:t>
      </w:r>
    </w:p>
    <w:p w14:paraId="1E1324D1" w14:textId="5F78393F" w:rsidR="00C20DB3" w:rsidRPr="00263E9F" w:rsidRDefault="00023CD9" w:rsidP="0043495F">
      <w:pPr>
        <w:jc w:val="both"/>
        <w:rPr>
          <w:rFonts w:cstheme="minorHAnsi"/>
          <w:sz w:val="24"/>
          <w:szCs w:val="24"/>
        </w:rPr>
      </w:pPr>
      <w:r w:rsidRPr="00263E9F">
        <w:rPr>
          <w:rFonts w:cstheme="minorHAnsi"/>
          <w:sz w:val="24"/>
          <w:szCs w:val="24"/>
        </w:rPr>
        <w:t xml:space="preserve">Υπάρχουν ισχυρές συνδέσεις μεταξύ </w:t>
      </w:r>
      <w:r w:rsidR="00A62736" w:rsidRPr="00263E9F">
        <w:rPr>
          <w:rFonts w:cstheme="minorHAnsi"/>
          <w:sz w:val="24"/>
          <w:szCs w:val="24"/>
        </w:rPr>
        <w:t xml:space="preserve">της </w:t>
      </w:r>
      <w:r w:rsidRPr="00263E9F">
        <w:rPr>
          <w:rFonts w:cstheme="minorHAnsi"/>
          <w:sz w:val="24"/>
          <w:szCs w:val="24"/>
        </w:rPr>
        <w:t>διεπιστημονικής εκπαίδευσης STEM</w:t>
      </w:r>
      <w:r w:rsidR="00A62736" w:rsidRPr="00263E9F">
        <w:rPr>
          <w:rFonts w:cstheme="minorHAnsi"/>
          <w:sz w:val="24"/>
          <w:szCs w:val="24"/>
        </w:rPr>
        <w:t xml:space="preserve"> και της</w:t>
      </w:r>
      <w:r w:rsidRPr="00263E9F">
        <w:rPr>
          <w:rFonts w:cstheme="minorHAnsi"/>
          <w:sz w:val="24"/>
          <w:szCs w:val="24"/>
        </w:rPr>
        <w:t xml:space="preserve"> μοντελοποίηση</w:t>
      </w:r>
      <w:r w:rsidR="00A62736" w:rsidRPr="00263E9F">
        <w:rPr>
          <w:rFonts w:cstheme="minorHAnsi"/>
          <w:sz w:val="24"/>
          <w:szCs w:val="24"/>
        </w:rPr>
        <w:t>ς</w:t>
      </w:r>
      <w:r w:rsidRPr="00263E9F">
        <w:rPr>
          <w:rFonts w:cstheme="minorHAnsi"/>
          <w:sz w:val="24"/>
          <w:szCs w:val="24"/>
        </w:rPr>
        <w:t xml:space="preserve"> </w:t>
      </w:r>
      <w:r w:rsidR="00A62736" w:rsidRPr="00263E9F">
        <w:rPr>
          <w:rFonts w:cstheme="minorHAnsi"/>
          <w:sz w:val="24"/>
          <w:szCs w:val="24"/>
        </w:rPr>
        <w:t xml:space="preserve">των </w:t>
      </w:r>
      <w:r w:rsidRPr="00263E9F">
        <w:rPr>
          <w:rFonts w:cstheme="minorHAnsi"/>
          <w:sz w:val="24"/>
          <w:szCs w:val="24"/>
        </w:rPr>
        <w:t xml:space="preserve">καταστάσεων </w:t>
      </w:r>
      <w:r w:rsidR="00A62736" w:rsidRPr="00263E9F">
        <w:rPr>
          <w:rFonts w:cstheme="minorHAnsi"/>
          <w:sz w:val="24"/>
          <w:szCs w:val="24"/>
        </w:rPr>
        <w:t xml:space="preserve">του </w:t>
      </w:r>
      <w:r w:rsidRPr="00263E9F">
        <w:rPr>
          <w:rFonts w:cstheme="minorHAnsi"/>
          <w:sz w:val="24"/>
          <w:szCs w:val="24"/>
        </w:rPr>
        <w:t xml:space="preserve">πραγματικού κόσμου και </w:t>
      </w:r>
      <w:r w:rsidR="00A62736" w:rsidRPr="00263E9F">
        <w:rPr>
          <w:rFonts w:cstheme="minorHAnsi"/>
          <w:sz w:val="24"/>
          <w:szCs w:val="24"/>
        </w:rPr>
        <w:t xml:space="preserve">των </w:t>
      </w:r>
      <w:r w:rsidRPr="00263E9F">
        <w:rPr>
          <w:rFonts w:cstheme="minorHAnsi"/>
          <w:sz w:val="24"/>
          <w:szCs w:val="24"/>
        </w:rPr>
        <w:t>δεξιοτήτων του 21ου αιώνα. «Η μοντελοποίηση είναι ένα ισχυρό όχημα για τη μεταφορά χαρακτηριστικών προβλημάτων του 21ου αιώνα στην τάξη των μαθηματικών»</w:t>
      </w:r>
      <w:r w:rsidR="0043495F" w:rsidRPr="00263E9F">
        <w:rPr>
          <w:rFonts w:cstheme="minorHAnsi"/>
          <w:sz w:val="24"/>
          <w:szCs w:val="24"/>
        </w:rPr>
        <w:t xml:space="preserve"> (English 2016, p. 10).</w:t>
      </w:r>
    </w:p>
    <w:p w14:paraId="1EE3FB66" w14:textId="77777777" w:rsidR="00C20DB3" w:rsidRPr="00263E9F" w:rsidRDefault="00C20DB3" w:rsidP="00C20DB3">
      <w:pPr>
        <w:jc w:val="both"/>
        <w:rPr>
          <w:rFonts w:cstheme="minorHAnsi"/>
          <w:sz w:val="24"/>
          <w:szCs w:val="24"/>
          <w:lang w:val="en-US"/>
        </w:rPr>
      </w:pPr>
      <w:bookmarkStart w:id="1" w:name="_Hlk53777186"/>
      <w:r w:rsidRPr="00263E9F">
        <w:rPr>
          <w:rFonts w:cstheme="minorHAnsi"/>
          <w:b/>
          <w:bCs/>
          <w:sz w:val="24"/>
          <w:szCs w:val="24"/>
        </w:rPr>
        <w:t>Βιβλιογραφία</w:t>
      </w:r>
    </w:p>
    <w:bookmarkEnd w:id="1"/>
    <w:p w14:paraId="1BDD99C1" w14:textId="70E75122" w:rsidR="00C20DB3" w:rsidRPr="00263E9F" w:rsidRDefault="00F36CFE" w:rsidP="00F36CFE">
      <w:pPr>
        <w:jc w:val="both"/>
        <w:rPr>
          <w:rFonts w:cstheme="minorHAnsi"/>
          <w:sz w:val="24"/>
          <w:szCs w:val="24"/>
          <w:lang w:val="en-US"/>
        </w:rPr>
      </w:pPr>
      <w:r w:rsidRPr="00263E9F">
        <w:rPr>
          <w:rFonts w:cstheme="minorHAnsi"/>
          <w:sz w:val="24"/>
          <w:szCs w:val="24"/>
          <w:lang w:val="en-US"/>
        </w:rPr>
        <w:t xml:space="preserve">English, L. D. (2016). Advancing mathematics education research within a STEM environment. In K. Makar, S. Dole, J. Visnovska, M. Goos, A. Bennison, &amp; K. Fry (Eds.), </w:t>
      </w:r>
      <w:r w:rsidRPr="00263E9F">
        <w:rPr>
          <w:rFonts w:cstheme="minorHAnsi"/>
          <w:i/>
          <w:iCs/>
          <w:sz w:val="24"/>
          <w:szCs w:val="24"/>
          <w:lang w:val="en-US"/>
        </w:rPr>
        <w:t xml:space="preserve">Research in mathematics education in Australasia 2012–2015 </w:t>
      </w:r>
      <w:r w:rsidRPr="00263E9F">
        <w:rPr>
          <w:rFonts w:cstheme="minorHAnsi"/>
          <w:sz w:val="24"/>
          <w:szCs w:val="24"/>
          <w:lang w:val="en-US"/>
        </w:rPr>
        <w:t>(pp. 353–371). Singapore: Springer.</w:t>
      </w:r>
    </w:p>
    <w:p w14:paraId="1C5EF3BF" w14:textId="77777777" w:rsidR="00844407" w:rsidRPr="00263E9F" w:rsidRDefault="00844407" w:rsidP="00844407">
      <w:pPr>
        <w:spacing w:after="200" w:line="276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263E9F">
        <w:rPr>
          <w:rFonts w:eastAsia="Calibri" w:cstheme="minorHAnsi"/>
          <w:sz w:val="24"/>
          <w:szCs w:val="24"/>
          <w:lang w:val="en-US"/>
        </w:rPr>
        <w:t xml:space="preserve">Maass, K., Geiger, V., Ariza, M. R., &amp; Goos, M. (2019). The role of mathematics in interdisciplinary STEM education. </w:t>
      </w:r>
      <w:r w:rsidRPr="00263E9F">
        <w:rPr>
          <w:rFonts w:eastAsia="Calibri" w:cstheme="minorHAnsi"/>
          <w:i/>
          <w:iCs/>
          <w:sz w:val="24"/>
          <w:szCs w:val="24"/>
          <w:lang w:val="en-US"/>
        </w:rPr>
        <w:t>ZDM The International Journal on Mathematics Education, 51</w:t>
      </w:r>
      <w:r w:rsidRPr="00263E9F">
        <w:rPr>
          <w:rFonts w:eastAsia="Calibri" w:cstheme="minorHAnsi"/>
          <w:sz w:val="24"/>
          <w:szCs w:val="24"/>
          <w:lang w:val="en-US"/>
        </w:rPr>
        <w:t>(6), 869–884.</w:t>
      </w:r>
    </w:p>
    <w:p w14:paraId="75207118" w14:textId="6F63FD46" w:rsidR="00844407" w:rsidRPr="00263E9F" w:rsidRDefault="00844407" w:rsidP="00F36CFE">
      <w:pPr>
        <w:jc w:val="both"/>
        <w:rPr>
          <w:rFonts w:cstheme="minorHAnsi"/>
          <w:sz w:val="24"/>
          <w:szCs w:val="24"/>
          <w:lang w:val="en-US"/>
        </w:rPr>
      </w:pPr>
    </w:p>
    <w:p w14:paraId="30DEA6E8" w14:textId="77777777" w:rsidR="00C10630" w:rsidRPr="00263E9F" w:rsidRDefault="00C10630" w:rsidP="00B93E7F">
      <w:pPr>
        <w:jc w:val="both"/>
        <w:rPr>
          <w:rFonts w:cstheme="minorHAnsi"/>
          <w:sz w:val="24"/>
          <w:szCs w:val="24"/>
          <w:lang w:val="en-US"/>
        </w:rPr>
      </w:pPr>
    </w:p>
    <w:p w14:paraId="54372C4D" w14:textId="318B8763" w:rsidR="00C10630" w:rsidRPr="00263E9F" w:rsidRDefault="00C10630" w:rsidP="00C10630">
      <w:pPr>
        <w:pStyle w:val="a3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263E9F">
        <w:rPr>
          <w:rFonts w:cstheme="minorHAnsi"/>
          <w:b/>
          <w:bCs/>
          <w:sz w:val="24"/>
          <w:szCs w:val="24"/>
        </w:rPr>
        <w:t>Απόδειξη και επιχειρηματολογία</w:t>
      </w:r>
    </w:p>
    <w:p w14:paraId="5706C7CE" w14:textId="1C7E8231" w:rsidR="00C10630" w:rsidRPr="00263E9F" w:rsidRDefault="004A3001" w:rsidP="00C10630">
      <w:pPr>
        <w:jc w:val="both"/>
        <w:rPr>
          <w:rFonts w:cstheme="minorHAnsi"/>
          <w:sz w:val="24"/>
          <w:szCs w:val="24"/>
        </w:rPr>
      </w:pPr>
      <w:r w:rsidRPr="00263E9F">
        <w:rPr>
          <w:rFonts w:cstheme="minorHAnsi"/>
          <w:sz w:val="24"/>
          <w:szCs w:val="24"/>
        </w:rPr>
        <w:t xml:space="preserve">Η απόδειξη και η επιχειρηματολογία διαχρονικά από το Νηπιαγωγείο μέχρι το Λύκειο (Κ-12). Μια ανασκόπηση των αποτελεσμάτων των ερευνών. Με βάση το άρθρο των  </w:t>
      </w:r>
      <w:r w:rsidRPr="00263E9F">
        <w:rPr>
          <w:rFonts w:cstheme="minorHAnsi"/>
          <w:sz w:val="24"/>
          <w:szCs w:val="24"/>
          <w:lang w:val="en-US"/>
        </w:rPr>
        <w:t>Campbell</w:t>
      </w:r>
      <w:r w:rsidRPr="00263E9F">
        <w:rPr>
          <w:rFonts w:cstheme="minorHAnsi"/>
          <w:sz w:val="24"/>
          <w:szCs w:val="24"/>
        </w:rPr>
        <w:t xml:space="preserve">, </w:t>
      </w:r>
      <w:r w:rsidRPr="00263E9F">
        <w:rPr>
          <w:rFonts w:cstheme="minorHAnsi"/>
          <w:sz w:val="24"/>
          <w:szCs w:val="24"/>
          <w:lang w:val="en-US"/>
        </w:rPr>
        <w:t>Boyle</w:t>
      </w:r>
      <w:r w:rsidRPr="00263E9F">
        <w:rPr>
          <w:rFonts w:cstheme="minorHAnsi"/>
          <w:sz w:val="24"/>
          <w:szCs w:val="24"/>
        </w:rPr>
        <w:t xml:space="preserve">, &amp; </w:t>
      </w:r>
      <w:r w:rsidRPr="00263E9F">
        <w:rPr>
          <w:rFonts w:cstheme="minorHAnsi"/>
          <w:sz w:val="24"/>
          <w:szCs w:val="24"/>
          <w:lang w:val="en-US"/>
        </w:rPr>
        <w:t>King</w:t>
      </w:r>
      <w:r w:rsidRPr="00263E9F">
        <w:rPr>
          <w:rFonts w:cstheme="minorHAnsi"/>
          <w:sz w:val="24"/>
          <w:szCs w:val="24"/>
        </w:rPr>
        <w:t xml:space="preserve">, (2019) να αναπτυχθεί η βιβλιογραφική επισκόπηση. </w:t>
      </w:r>
    </w:p>
    <w:p w14:paraId="30B0EB0D" w14:textId="77777777" w:rsidR="004A3001" w:rsidRPr="00263E9F" w:rsidRDefault="004A3001" w:rsidP="00C10630">
      <w:pPr>
        <w:jc w:val="both"/>
        <w:rPr>
          <w:rFonts w:cstheme="minorHAnsi"/>
          <w:sz w:val="24"/>
          <w:szCs w:val="24"/>
        </w:rPr>
      </w:pPr>
    </w:p>
    <w:p w14:paraId="0DFE3A44" w14:textId="3C555529" w:rsidR="00C10630" w:rsidRPr="00263E9F" w:rsidRDefault="00B93E7F" w:rsidP="00C10630">
      <w:pPr>
        <w:jc w:val="both"/>
        <w:rPr>
          <w:rFonts w:cstheme="minorHAnsi"/>
          <w:sz w:val="24"/>
          <w:szCs w:val="24"/>
          <w:lang w:val="en-US"/>
        </w:rPr>
      </w:pPr>
      <w:bookmarkStart w:id="2" w:name="_Hlk53815178"/>
      <w:r w:rsidRPr="00263E9F">
        <w:rPr>
          <w:rFonts w:cstheme="minorHAnsi"/>
          <w:sz w:val="24"/>
          <w:szCs w:val="24"/>
        </w:rPr>
        <w:t xml:space="preserve"> </w:t>
      </w:r>
      <w:r w:rsidR="00C10630" w:rsidRPr="00263E9F">
        <w:rPr>
          <w:rFonts w:cstheme="minorHAnsi"/>
          <w:b/>
          <w:bCs/>
          <w:sz w:val="24"/>
          <w:szCs w:val="24"/>
        </w:rPr>
        <w:t>Βιβλιογραφία</w:t>
      </w:r>
    </w:p>
    <w:p w14:paraId="7A78BD9B" w14:textId="77777777" w:rsidR="004A3001" w:rsidRPr="00263E9F" w:rsidRDefault="004A3001" w:rsidP="004A3001">
      <w:pPr>
        <w:contextualSpacing/>
        <w:jc w:val="both"/>
        <w:rPr>
          <w:rFonts w:eastAsia="Calibri" w:cstheme="minorHAnsi"/>
          <w:sz w:val="24"/>
          <w:szCs w:val="24"/>
        </w:rPr>
      </w:pPr>
      <w:bookmarkStart w:id="3" w:name="_Hlk53778143"/>
      <w:bookmarkEnd w:id="2"/>
      <w:r w:rsidRPr="00263E9F">
        <w:rPr>
          <w:rFonts w:eastAsia="Calibri" w:cstheme="minorHAnsi"/>
          <w:sz w:val="24"/>
          <w:szCs w:val="24"/>
          <w:lang w:val="en-US"/>
        </w:rPr>
        <w:lastRenderedPageBreak/>
        <w:t xml:space="preserve">Campbell, T. G., Boyle, J. D., &amp; King, S. (2019). </w:t>
      </w:r>
      <w:bookmarkEnd w:id="3"/>
      <w:r w:rsidRPr="00263E9F">
        <w:rPr>
          <w:rFonts w:eastAsia="Calibri" w:cstheme="minorHAnsi"/>
          <w:sz w:val="24"/>
          <w:szCs w:val="24"/>
          <w:lang w:val="en-US"/>
        </w:rPr>
        <w:t>Proof and argumentation in K-12 mathematics: a review of conceptions, content, and support. </w:t>
      </w:r>
      <w:r w:rsidRPr="00263E9F">
        <w:rPr>
          <w:rFonts w:eastAsia="Calibri" w:cstheme="minorHAnsi"/>
          <w:i/>
          <w:iCs/>
          <w:sz w:val="24"/>
          <w:szCs w:val="24"/>
        </w:rPr>
        <w:t>International Journal of Mathematical Education in Science and Technology</w:t>
      </w:r>
      <w:r w:rsidRPr="00263E9F">
        <w:rPr>
          <w:rFonts w:eastAsia="Calibri" w:cstheme="minorHAnsi"/>
          <w:sz w:val="24"/>
          <w:szCs w:val="24"/>
        </w:rPr>
        <w:t>, 1-21.</w:t>
      </w:r>
    </w:p>
    <w:p w14:paraId="69F856F8" w14:textId="4196DD8A" w:rsidR="00FB5A27" w:rsidRPr="00263E9F" w:rsidRDefault="00FB5A27" w:rsidP="00B93E7F">
      <w:pPr>
        <w:jc w:val="both"/>
        <w:rPr>
          <w:rFonts w:cstheme="minorHAnsi"/>
          <w:sz w:val="24"/>
          <w:szCs w:val="24"/>
          <w:lang w:val="en-US"/>
        </w:rPr>
      </w:pPr>
    </w:p>
    <w:p w14:paraId="53BDBB9E" w14:textId="42223400" w:rsidR="0063691D" w:rsidRPr="00263E9F" w:rsidRDefault="003D6B1C" w:rsidP="0063691D">
      <w:pPr>
        <w:pStyle w:val="a3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bookmarkStart w:id="4" w:name="_Hlk53817161"/>
      <w:r w:rsidRPr="00263E9F">
        <w:rPr>
          <w:rFonts w:cstheme="minorHAnsi"/>
          <w:b/>
          <w:bCs/>
          <w:sz w:val="24"/>
          <w:szCs w:val="24"/>
        </w:rPr>
        <w:t>Απόδειξη και επιχειρηματολογία</w:t>
      </w:r>
      <w:r w:rsidR="0063691D" w:rsidRPr="00263E9F">
        <w:rPr>
          <w:rFonts w:cstheme="minorHAnsi"/>
          <w:b/>
          <w:bCs/>
          <w:sz w:val="24"/>
          <w:szCs w:val="24"/>
        </w:rPr>
        <w:t xml:space="preserve"> στην πρωτοβάθμια εκπαίδευση </w:t>
      </w:r>
    </w:p>
    <w:p w14:paraId="2D765E57" w14:textId="1BB25985" w:rsidR="0063691D" w:rsidRPr="00263E9F" w:rsidRDefault="003D6B1C" w:rsidP="0063691D">
      <w:pPr>
        <w:jc w:val="both"/>
        <w:rPr>
          <w:rFonts w:cstheme="minorHAnsi"/>
          <w:sz w:val="24"/>
          <w:szCs w:val="24"/>
        </w:rPr>
      </w:pPr>
      <w:r w:rsidRPr="00263E9F">
        <w:rPr>
          <w:rFonts w:cstheme="minorHAnsi"/>
          <w:sz w:val="24"/>
          <w:szCs w:val="24"/>
        </w:rPr>
        <w:t>Στην εργασία αυτή θα γίνει βιβλιογραφική ανασκόπηση σχετικά</w:t>
      </w:r>
      <w:r w:rsidR="00BB2477" w:rsidRPr="00263E9F">
        <w:rPr>
          <w:rFonts w:cstheme="minorHAnsi"/>
          <w:sz w:val="24"/>
          <w:szCs w:val="24"/>
        </w:rPr>
        <w:t xml:space="preserve"> με την έννοια της απόδειξης και της επιχειρηματολογίας στην πρωτοβάθμια εκπαίδευση. </w:t>
      </w:r>
    </w:p>
    <w:p w14:paraId="220CDFE0" w14:textId="77777777" w:rsidR="00BB2477" w:rsidRPr="00263E9F" w:rsidRDefault="00BB2477" w:rsidP="0063691D">
      <w:pPr>
        <w:jc w:val="both"/>
        <w:rPr>
          <w:rFonts w:cstheme="minorHAnsi"/>
          <w:b/>
          <w:bCs/>
          <w:sz w:val="24"/>
          <w:szCs w:val="24"/>
        </w:rPr>
      </w:pPr>
    </w:p>
    <w:p w14:paraId="17F9CE28" w14:textId="242106C1" w:rsidR="0063691D" w:rsidRPr="00263E9F" w:rsidRDefault="0063691D" w:rsidP="0063691D">
      <w:pPr>
        <w:jc w:val="both"/>
        <w:rPr>
          <w:rFonts w:cstheme="minorHAnsi"/>
          <w:sz w:val="24"/>
          <w:szCs w:val="24"/>
          <w:lang w:val="en-US"/>
        </w:rPr>
      </w:pPr>
      <w:r w:rsidRPr="00263E9F">
        <w:rPr>
          <w:rFonts w:cstheme="minorHAnsi"/>
          <w:b/>
          <w:bCs/>
          <w:sz w:val="24"/>
          <w:szCs w:val="24"/>
        </w:rPr>
        <w:t>Βιβλιογραφία</w:t>
      </w:r>
    </w:p>
    <w:p w14:paraId="5326F40E" w14:textId="77777777" w:rsidR="00AA31DC" w:rsidRPr="00263E9F" w:rsidRDefault="00AA31DC" w:rsidP="00AA31DC">
      <w:pPr>
        <w:jc w:val="both"/>
        <w:rPr>
          <w:rFonts w:cstheme="minorHAnsi"/>
          <w:sz w:val="24"/>
          <w:szCs w:val="24"/>
          <w:lang w:val="en-US"/>
        </w:rPr>
      </w:pPr>
      <w:r w:rsidRPr="00263E9F">
        <w:rPr>
          <w:rFonts w:cstheme="minorHAnsi"/>
          <w:sz w:val="24"/>
          <w:szCs w:val="24"/>
          <w:lang w:val="en-US"/>
        </w:rPr>
        <w:t>Campbell, T. G., Boyle, J. D., &amp; King, S. (2019). Proof and argumentation in K-12 mathematics: a review of conceptions, content, and support. </w:t>
      </w:r>
      <w:r w:rsidRPr="00263E9F">
        <w:rPr>
          <w:rFonts w:cstheme="minorHAnsi"/>
          <w:i/>
          <w:iCs/>
          <w:sz w:val="24"/>
          <w:szCs w:val="24"/>
          <w:lang w:val="en-US"/>
        </w:rPr>
        <w:t>International Journal of Mathematical Education in Science and Technology</w:t>
      </w:r>
      <w:r w:rsidRPr="00263E9F">
        <w:rPr>
          <w:rFonts w:cstheme="minorHAnsi"/>
          <w:sz w:val="24"/>
          <w:szCs w:val="24"/>
          <w:lang w:val="en-US"/>
        </w:rPr>
        <w:t>, 1-21.</w:t>
      </w:r>
    </w:p>
    <w:p w14:paraId="01594E5D" w14:textId="77777777" w:rsidR="003D6B1C" w:rsidRPr="00263E9F" w:rsidRDefault="003D6B1C" w:rsidP="003D6B1C">
      <w:pPr>
        <w:contextualSpacing/>
        <w:rPr>
          <w:rFonts w:eastAsia="Calibri" w:cstheme="minorHAnsi"/>
          <w:sz w:val="24"/>
          <w:szCs w:val="24"/>
        </w:rPr>
      </w:pPr>
      <w:r w:rsidRPr="00263E9F">
        <w:rPr>
          <w:rFonts w:eastAsia="Calibri" w:cstheme="minorHAnsi"/>
          <w:sz w:val="24"/>
          <w:szCs w:val="24"/>
          <w:lang w:val="en-US"/>
        </w:rPr>
        <w:t xml:space="preserve">Stylianides, A. J. (2016). </w:t>
      </w:r>
      <w:r w:rsidRPr="00263E9F">
        <w:rPr>
          <w:rFonts w:eastAsia="Calibri" w:cstheme="minorHAnsi"/>
          <w:i/>
          <w:iCs/>
          <w:sz w:val="24"/>
          <w:szCs w:val="24"/>
          <w:lang w:val="en-US"/>
        </w:rPr>
        <w:t>Proving in the elementary classroom</w:t>
      </w:r>
      <w:r w:rsidRPr="00263E9F">
        <w:rPr>
          <w:rFonts w:eastAsia="Calibri" w:cstheme="minorHAnsi"/>
          <w:sz w:val="24"/>
          <w:szCs w:val="24"/>
          <w:lang w:val="en-US"/>
        </w:rPr>
        <w:t xml:space="preserve">. </w:t>
      </w:r>
      <w:r w:rsidRPr="00263E9F">
        <w:rPr>
          <w:rFonts w:eastAsia="Calibri" w:cstheme="minorHAnsi"/>
          <w:sz w:val="24"/>
          <w:szCs w:val="24"/>
        </w:rPr>
        <w:t>Oxford: Oxford University Press.</w:t>
      </w:r>
    </w:p>
    <w:bookmarkEnd w:id="4"/>
    <w:p w14:paraId="248FA1DA" w14:textId="4902CDCF" w:rsidR="0063691D" w:rsidRPr="00263E9F" w:rsidRDefault="0063691D" w:rsidP="0063691D">
      <w:pPr>
        <w:jc w:val="both"/>
        <w:rPr>
          <w:rFonts w:cstheme="minorHAnsi"/>
          <w:sz w:val="24"/>
          <w:szCs w:val="24"/>
        </w:rPr>
      </w:pPr>
    </w:p>
    <w:p w14:paraId="41672115" w14:textId="2C6CF580" w:rsidR="00E312C6" w:rsidRPr="00263E9F" w:rsidRDefault="00E312C6" w:rsidP="007E1D73">
      <w:pPr>
        <w:jc w:val="both"/>
        <w:rPr>
          <w:rFonts w:cstheme="minorHAnsi"/>
          <w:sz w:val="24"/>
          <w:szCs w:val="24"/>
        </w:rPr>
      </w:pPr>
    </w:p>
    <w:p w14:paraId="6B13054A" w14:textId="039AF509" w:rsidR="00E312C6" w:rsidRPr="009C5BA3" w:rsidRDefault="00E312C6" w:rsidP="009C5BA3">
      <w:pPr>
        <w:pStyle w:val="a3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9C5BA3">
        <w:rPr>
          <w:rFonts w:cstheme="minorHAnsi"/>
          <w:b/>
          <w:bCs/>
          <w:sz w:val="24"/>
          <w:szCs w:val="24"/>
        </w:rPr>
        <w:t>Ηλεκτρονικά εγχειρίδια (</w:t>
      </w:r>
      <w:r w:rsidRPr="009C5BA3">
        <w:rPr>
          <w:rFonts w:cstheme="minorHAnsi"/>
          <w:b/>
          <w:bCs/>
          <w:sz w:val="24"/>
          <w:szCs w:val="24"/>
          <w:lang w:val="en-US"/>
        </w:rPr>
        <w:t>e</w:t>
      </w:r>
      <w:r w:rsidRPr="009C5BA3">
        <w:rPr>
          <w:rFonts w:cstheme="minorHAnsi"/>
          <w:b/>
          <w:bCs/>
          <w:sz w:val="24"/>
          <w:szCs w:val="24"/>
        </w:rPr>
        <w:t>-</w:t>
      </w:r>
      <w:r w:rsidRPr="009C5BA3">
        <w:rPr>
          <w:rFonts w:cstheme="minorHAnsi"/>
          <w:b/>
          <w:bCs/>
          <w:sz w:val="24"/>
          <w:szCs w:val="24"/>
          <w:lang w:val="en-US"/>
        </w:rPr>
        <w:t>textbooks</w:t>
      </w:r>
      <w:r w:rsidRPr="009C5BA3">
        <w:rPr>
          <w:rFonts w:cstheme="minorHAnsi"/>
          <w:b/>
          <w:bCs/>
          <w:sz w:val="24"/>
          <w:szCs w:val="24"/>
        </w:rPr>
        <w:t>)</w:t>
      </w:r>
    </w:p>
    <w:p w14:paraId="7D6EA91E" w14:textId="3824F7AF" w:rsidR="00E312C6" w:rsidRPr="00263E9F" w:rsidRDefault="00E312C6" w:rsidP="00E312C6">
      <w:pPr>
        <w:jc w:val="both"/>
        <w:rPr>
          <w:rFonts w:cstheme="minorHAnsi"/>
          <w:sz w:val="24"/>
          <w:szCs w:val="24"/>
        </w:rPr>
      </w:pPr>
      <w:r w:rsidRPr="00263E9F">
        <w:rPr>
          <w:rFonts w:cstheme="minorHAnsi"/>
          <w:sz w:val="24"/>
          <w:szCs w:val="24"/>
        </w:rPr>
        <w:t xml:space="preserve">Τι είναι τα ηλεκτρονικά εγχειρίδια. Ποια είδη ηλεκτρονικών εγχειριδίων υπάρχουν στα μαθηματικά. Ερευνητικά αποτελέσματα από τη χρήση των ηλεκτρονικών εγχειριδίων. </w:t>
      </w:r>
    </w:p>
    <w:p w14:paraId="7D3ED96D" w14:textId="77777777" w:rsidR="00E312C6" w:rsidRPr="00263E9F" w:rsidRDefault="00E312C6" w:rsidP="00E312C6">
      <w:pPr>
        <w:jc w:val="both"/>
        <w:rPr>
          <w:rFonts w:cstheme="minorHAnsi"/>
          <w:sz w:val="24"/>
          <w:szCs w:val="24"/>
        </w:rPr>
      </w:pPr>
    </w:p>
    <w:p w14:paraId="456779E2" w14:textId="0CB847D0" w:rsidR="00E312C6" w:rsidRPr="00263E9F" w:rsidRDefault="00E312C6" w:rsidP="00E312C6">
      <w:pPr>
        <w:jc w:val="both"/>
        <w:rPr>
          <w:rFonts w:cstheme="minorHAnsi"/>
          <w:sz w:val="24"/>
          <w:szCs w:val="24"/>
        </w:rPr>
      </w:pPr>
      <w:r w:rsidRPr="00263E9F">
        <w:rPr>
          <w:rFonts w:cstheme="minorHAnsi"/>
          <w:sz w:val="24"/>
          <w:szCs w:val="24"/>
        </w:rPr>
        <w:t>Βιβλιογραφία</w:t>
      </w:r>
    </w:p>
    <w:p w14:paraId="3766F2F7" w14:textId="1A7870C5" w:rsidR="00A80A3D" w:rsidRPr="00263E9F" w:rsidRDefault="00A80A3D" w:rsidP="00A80A3D">
      <w:pPr>
        <w:rPr>
          <w:rFonts w:cstheme="minorHAnsi"/>
          <w:sz w:val="24"/>
          <w:szCs w:val="24"/>
          <w:lang w:val="en-US"/>
        </w:rPr>
      </w:pPr>
      <w:r w:rsidRPr="00263E9F">
        <w:rPr>
          <w:rFonts w:cstheme="minorHAnsi"/>
          <w:sz w:val="24"/>
          <w:szCs w:val="24"/>
          <w:lang w:val="en-US"/>
        </w:rPr>
        <w:t>Pepin</w:t>
      </w:r>
      <w:r w:rsidRPr="00263E9F">
        <w:rPr>
          <w:rFonts w:cstheme="minorHAnsi"/>
          <w:sz w:val="24"/>
          <w:szCs w:val="24"/>
        </w:rPr>
        <w:t xml:space="preserve">, </w:t>
      </w:r>
      <w:r w:rsidRPr="00263E9F">
        <w:rPr>
          <w:rFonts w:cstheme="minorHAnsi"/>
          <w:sz w:val="24"/>
          <w:szCs w:val="24"/>
          <w:lang w:val="en-US"/>
        </w:rPr>
        <w:t>B</w:t>
      </w:r>
      <w:r w:rsidRPr="00263E9F">
        <w:rPr>
          <w:rFonts w:cstheme="minorHAnsi"/>
          <w:sz w:val="24"/>
          <w:szCs w:val="24"/>
        </w:rPr>
        <w:t xml:space="preserve">., &amp; </w:t>
      </w:r>
      <w:r w:rsidRPr="00263E9F">
        <w:rPr>
          <w:rFonts w:cstheme="minorHAnsi"/>
          <w:sz w:val="24"/>
          <w:szCs w:val="24"/>
          <w:lang w:val="en-US"/>
        </w:rPr>
        <w:t>Gueudet</w:t>
      </w:r>
      <w:r w:rsidRPr="00263E9F">
        <w:rPr>
          <w:rFonts w:cstheme="minorHAnsi"/>
          <w:sz w:val="24"/>
          <w:szCs w:val="24"/>
        </w:rPr>
        <w:t xml:space="preserve">, </w:t>
      </w:r>
      <w:r w:rsidRPr="00263E9F">
        <w:rPr>
          <w:rFonts w:cstheme="minorHAnsi"/>
          <w:sz w:val="24"/>
          <w:szCs w:val="24"/>
          <w:lang w:val="en-US"/>
        </w:rPr>
        <w:t>G</w:t>
      </w:r>
      <w:r w:rsidRPr="00263E9F">
        <w:rPr>
          <w:rFonts w:cstheme="minorHAnsi"/>
          <w:sz w:val="24"/>
          <w:szCs w:val="24"/>
        </w:rPr>
        <w:t xml:space="preserve">. (2020). </w:t>
      </w:r>
      <w:r w:rsidRPr="00263E9F">
        <w:rPr>
          <w:rFonts w:cstheme="minorHAnsi"/>
          <w:sz w:val="24"/>
          <w:szCs w:val="24"/>
          <w:lang w:val="en-US"/>
        </w:rPr>
        <w:t>Curriculum resources and textbooks in mathematics education. </w:t>
      </w:r>
      <w:r w:rsidRPr="000E3B12">
        <w:rPr>
          <w:rFonts w:cstheme="minorHAnsi"/>
          <w:i/>
          <w:iCs/>
          <w:sz w:val="24"/>
          <w:szCs w:val="24"/>
          <w:lang w:val="en-GB"/>
        </w:rPr>
        <w:t>Encyclopedia of mathematics education</w:t>
      </w:r>
      <w:r w:rsidRPr="000E3B12">
        <w:rPr>
          <w:rFonts w:cstheme="minorHAnsi"/>
          <w:sz w:val="24"/>
          <w:szCs w:val="24"/>
          <w:lang w:val="en-GB"/>
        </w:rPr>
        <w:t>, 172-176.</w:t>
      </w:r>
    </w:p>
    <w:p w14:paraId="4B0C44B3" w14:textId="17A10AE3" w:rsidR="00E312C6" w:rsidRPr="00263E9F" w:rsidRDefault="00E312C6" w:rsidP="00E312C6">
      <w:pPr>
        <w:jc w:val="both"/>
        <w:rPr>
          <w:rFonts w:cstheme="minorHAnsi"/>
          <w:sz w:val="24"/>
          <w:szCs w:val="24"/>
          <w:lang w:val="en-US"/>
        </w:rPr>
      </w:pPr>
      <w:r w:rsidRPr="00E312C6">
        <w:rPr>
          <w:rFonts w:cstheme="minorHAnsi"/>
          <w:sz w:val="24"/>
          <w:szCs w:val="24"/>
          <w:lang w:val="en-US"/>
        </w:rPr>
        <w:t xml:space="preserve">Pepin B, Gueudet G, Yerushalmy M, Trouche L, Chazan D (2016) E-textbooks in/for teaching and learning mathematics: a disruptive and potentially transformative educational technology. In: </w:t>
      </w:r>
      <w:r w:rsidRPr="00E312C6">
        <w:rPr>
          <w:rFonts w:cstheme="minorHAnsi"/>
          <w:i/>
          <w:iCs/>
          <w:sz w:val="24"/>
          <w:szCs w:val="24"/>
          <w:lang w:val="en-US"/>
        </w:rPr>
        <w:t>English L, Kirshner D (eds) Handbook of international research in mathematics education</w:t>
      </w:r>
      <w:r w:rsidRPr="00E312C6">
        <w:rPr>
          <w:rFonts w:cstheme="minorHAnsi"/>
          <w:sz w:val="24"/>
          <w:szCs w:val="24"/>
          <w:lang w:val="en-US"/>
        </w:rPr>
        <w:t>. Taylor &amp; Francis, New York, NY, pp 636–661.</w:t>
      </w:r>
    </w:p>
    <w:p w14:paraId="182B5C6A" w14:textId="77777777" w:rsidR="00205517" w:rsidRPr="00E312C6" w:rsidRDefault="00205517" w:rsidP="00E312C6">
      <w:pPr>
        <w:jc w:val="both"/>
        <w:rPr>
          <w:sz w:val="24"/>
          <w:szCs w:val="24"/>
          <w:lang w:val="en-US"/>
        </w:rPr>
      </w:pPr>
    </w:p>
    <w:p w14:paraId="14A7B402" w14:textId="79B4EE6E" w:rsidR="00E312C6" w:rsidRPr="002C25C3" w:rsidRDefault="00985F50" w:rsidP="009C5BA3">
      <w:pPr>
        <w:pStyle w:val="a3"/>
        <w:numPr>
          <w:ilvl w:val="0"/>
          <w:numId w:val="2"/>
        </w:numPr>
        <w:ind w:left="426"/>
        <w:jc w:val="both"/>
        <w:rPr>
          <w:b/>
          <w:bCs/>
          <w:sz w:val="24"/>
          <w:szCs w:val="24"/>
        </w:rPr>
      </w:pPr>
      <w:bookmarkStart w:id="5" w:name="_Hlk120207715"/>
      <w:r w:rsidRPr="002C25C3">
        <w:rPr>
          <w:b/>
          <w:bCs/>
          <w:sz w:val="24"/>
          <w:szCs w:val="24"/>
        </w:rPr>
        <w:t>Ψηφιακό υλικό του προγράμματος σπουδών (digital curriculum materials)</w:t>
      </w:r>
    </w:p>
    <w:bookmarkEnd w:id="5"/>
    <w:p w14:paraId="0D5E3B7A" w14:textId="6D1DE5EE" w:rsidR="00985F50" w:rsidRPr="002C25C3" w:rsidRDefault="002C25C3" w:rsidP="00985F50">
      <w:pPr>
        <w:jc w:val="both"/>
        <w:rPr>
          <w:sz w:val="24"/>
          <w:szCs w:val="24"/>
        </w:rPr>
      </w:pPr>
      <w:r w:rsidRPr="002C25C3">
        <w:rPr>
          <w:sz w:val="24"/>
          <w:szCs w:val="24"/>
        </w:rPr>
        <w:t xml:space="preserve">Πώς προσδιορίζεται ό όρος </w:t>
      </w:r>
      <w:bookmarkStart w:id="6" w:name="_Hlk120208086"/>
      <w:r w:rsidRPr="002C25C3">
        <w:rPr>
          <w:sz w:val="24"/>
          <w:szCs w:val="24"/>
        </w:rPr>
        <w:t xml:space="preserve">ψηφιακό υλικό του προγράμματος σπουδών (digital curriculum materials) </w:t>
      </w:r>
      <w:bookmarkEnd w:id="6"/>
      <w:r w:rsidRPr="002C25C3">
        <w:rPr>
          <w:sz w:val="24"/>
          <w:szCs w:val="24"/>
        </w:rPr>
        <w:t xml:space="preserve">και ποιες τάσεις υπάρχουν στο σχεδιασμό ψηφιακών προγραμμάτων σπουδών. </w:t>
      </w:r>
    </w:p>
    <w:p w14:paraId="50B759A5" w14:textId="77777777" w:rsidR="002C25C3" w:rsidRDefault="002C25C3" w:rsidP="00985F50">
      <w:pPr>
        <w:jc w:val="both"/>
        <w:rPr>
          <w:sz w:val="24"/>
          <w:szCs w:val="24"/>
        </w:rPr>
      </w:pPr>
      <w:bookmarkStart w:id="7" w:name="_Hlk120207692"/>
    </w:p>
    <w:p w14:paraId="764EB602" w14:textId="15394276" w:rsidR="00985F50" w:rsidRPr="000E3B12" w:rsidRDefault="00985F50" w:rsidP="00985F50">
      <w:pPr>
        <w:jc w:val="both"/>
        <w:rPr>
          <w:sz w:val="24"/>
          <w:szCs w:val="24"/>
          <w:lang w:val="en-GB"/>
        </w:rPr>
      </w:pPr>
      <w:r w:rsidRPr="00AF103B">
        <w:rPr>
          <w:sz w:val="24"/>
          <w:szCs w:val="24"/>
        </w:rPr>
        <w:t>Βιβλιογραφία</w:t>
      </w:r>
      <w:r w:rsidRPr="000E3B12">
        <w:rPr>
          <w:sz w:val="24"/>
          <w:szCs w:val="24"/>
          <w:lang w:val="en-GB"/>
        </w:rPr>
        <w:t xml:space="preserve"> </w:t>
      </w:r>
    </w:p>
    <w:bookmarkEnd w:id="7"/>
    <w:p w14:paraId="25A6F55C" w14:textId="456D260B" w:rsidR="00985F50" w:rsidRPr="000E3B12" w:rsidRDefault="00AF103B" w:rsidP="00AF103B">
      <w:pPr>
        <w:jc w:val="both"/>
        <w:rPr>
          <w:sz w:val="24"/>
          <w:szCs w:val="24"/>
          <w:lang w:val="en-GB"/>
        </w:rPr>
      </w:pPr>
      <w:r w:rsidRPr="00AF103B">
        <w:rPr>
          <w:sz w:val="24"/>
          <w:szCs w:val="24"/>
          <w:lang w:val="en-US"/>
        </w:rPr>
        <w:lastRenderedPageBreak/>
        <w:t xml:space="preserve">Choppin J, Borys Z (2017) Trends in the design, development, and use of digital curriculum materials. </w:t>
      </w:r>
      <w:r w:rsidRPr="00AF103B">
        <w:rPr>
          <w:i/>
          <w:iCs/>
          <w:sz w:val="24"/>
          <w:szCs w:val="24"/>
          <w:lang w:val="en-US"/>
        </w:rPr>
        <w:t>ZDM</w:t>
      </w:r>
      <w:r w:rsidRPr="000E3B12">
        <w:rPr>
          <w:i/>
          <w:iCs/>
          <w:sz w:val="24"/>
          <w:szCs w:val="24"/>
          <w:lang w:val="en-GB"/>
        </w:rPr>
        <w:t xml:space="preserve"> </w:t>
      </w:r>
      <w:r w:rsidRPr="00AF103B">
        <w:rPr>
          <w:i/>
          <w:iCs/>
          <w:sz w:val="24"/>
          <w:szCs w:val="24"/>
          <w:lang w:val="en-US"/>
        </w:rPr>
        <w:t>49</w:t>
      </w:r>
      <w:r w:rsidRPr="00AF103B">
        <w:rPr>
          <w:sz w:val="24"/>
          <w:szCs w:val="24"/>
          <w:lang w:val="en-US"/>
        </w:rPr>
        <w:t>(5):663–674</w:t>
      </w:r>
      <w:r w:rsidRPr="000E3B12">
        <w:rPr>
          <w:sz w:val="24"/>
          <w:szCs w:val="24"/>
          <w:lang w:val="en-GB"/>
        </w:rPr>
        <w:t>.</w:t>
      </w:r>
    </w:p>
    <w:p w14:paraId="40DD1A83" w14:textId="66EECFB2" w:rsidR="00AF103B" w:rsidRPr="00AF103B" w:rsidRDefault="00AF103B" w:rsidP="00AF10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F103B">
        <w:rPr>
          <w:rFonts w:cstheme="minorHAnsi"/>
          <w:sz w:val="24"/>
          <w:szCs w:val="24"/>
          <w:lang w:val="en-US"/>
        </w:rPr>
        <w:t>Pepin B, Choppin J, Ruthven K, Sinclair N (2017a) Digital curriculum resources in mathematics education: foundations for change. ZDM 49(5):645–661</w:t>
      </w:r>
    </w:p>
    <w:p w14:paraId="5285F081" w14:textId="77777777" w:rsidR="00AF103B" w:rsidRPr="00AF103B" w:rsidRDefault="00AF103B" w:rsidP="00AF10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5636E32" w14:textId="77777777" w:rsidR="002C25C3" w:rsidRPr="002C25C3" w:rsidRDefault="002C25C3" w:rsidP="002C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2A3483" w14:textId="79EF7678" w:rsidR="002C25C3" w:rsidRPr="002C25C3" w:rsidRDefault="002C25C3" w:rsidP="009C5BA3">
      <w:pPr>
        <w:pStyle w:val="a3"/>
        <w:numPr>
          <w:ilvl w:val="0"/>
          <w:numId w:val="2"/>
        </w:numPr>
        <w:ind w:left="426"/>
        <w:jc w:val="both"/>
        <w:rPr>
          <w:b/>
          <w:bCs/>
          <w:sz w:val="24"/>
          <w:szCs w:val="24"/>
        </w:rPr>
      </w:pPr>
      <w:r w:rsidRPr="002C25C3">
        <w:rPr>
          <w:b/>
          <w:bCs/>
          <w:sz w:val="24"/>
          <w:szCs w:val="24"/>
        </w:rPr>
        <w:t xml:space="preserve">Ψηφιακό υλικό του προγράμματος σπουδών (digital curriculum materials) και εκπαιδευτικοί  </w:t>
      </w:r>
    </w:p>
    <w:p w14:paraId="4368B885" w14:textId="2FAF1FEA" w:rsidR="002C25C3" w:rsidRDefault="00263E9F" w:rsidP="002C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Ποιες είναι οι νέες ικανότητες που απαιτούνται από τους εκπαιδευτικούς για τη χρήση  του </w:t>
      </w:r>
      <w:r w:rsidRPr="00263E9F">
        <w:rPr>
          <w:rFonts w:cstheme="minorHAnsi"/>
          <w:sz w:val="24"/>
          <w:szCs w:val="24"/>
        </w:rPr>
        <w:t>ψηφιακ</w:t>
      </w:r>
      <w:r>
        <w:rPr>
          <w:rFonts w:cstheme="minorHAnsi"/>
          <w:sz w:val="24"/>
          <w:szCs w:val="24"/>
        </w:rPr>
        <w:t>ού</w:t>
      </w:r>
      <w:r w:rsidRPr="00263E9F">
        <w:rPr>
          <w:rFonts w:cstheme="minorHAnsi"/>
          <w:sz w:val="24"/>
          <w:szCs w:val="24"/>
        </w:rPr>
        <w:t xml:space="preserve"> υλικ</w:t>
      </w:r>
      <w:r>
        <w:rPr>
          <w:rFonts w:cstheme="minorHAnsi"/>
          <w:sz w:val="24"/>
          <w:szCs w:val="24"/>
        </w:rPr>
        <w:t>ού</w:t>
      </w:r>
      <w:r w:rsidRPr="00263E9F">
        <w:rPr>
          <w:rFonts w:cstheme="minorHAnsi"/>
          <w:sz w:val="24"/>
          <w:szCs w:val="24"/>
        </w:rPr>
        <w:t xml:space="preserve"> του προγράμματος σπουδών (digital curriculum materials)</w:t>
      </w:r>
      <w:r>
        <w:rPr>
          <w:rFonts w:cstheme="minorHAnsi"/>
          <w:sz w:val="24"/>
          <w:szCs w:val="24"/>
        </w:rPr>
        <w:t xml:space="preserve">; Αποτελέσματα ερευνών </w:t>
      </w:r>
    </w:p>
    <w:p w14:paraId="57EFD962" w14:textId="77777777" w:rsidR="002C25C3" w:rsidRDefault="002C25C3" w:rsidP="002C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2913ED" w14:textId="485015FF" w:rsidR="002C25C3" w:rsidRPr="000E3B12" w:rsidRDefault="002C25C3" w:rsidP="002C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C25C3">
        <w:rPr>
          <w:rFonts w:cstheme="minorHAnsi"/>
          <w:sz w:val="24"/>
          <w:szCs w:val="24"/>
        </w:rPr>
        <w:t>Βιβλιογραφία</w:t>
      </w:r>
      <w:r w:rsidRPr="000E3B12">
        <w:rPr>
          <w:rFonts w:cstheme="minorHAnsi"/>
          <w:sz w:val="24"/>
          <w:szCs w:val="24"/>
          <w:lang w:val="en-GB"/>
        </w:rPr>
        <w:t xml:space="preserve"> </w:t>
      </w:r>
    </w:p>
    <w:p w14:paraId="25A18388" w14:textId="77777777" w:rsidR="002C25C3" w:rsidRPr="000E3B12" w:rsidRDefault="002C25C3" w:rsidP="00AF10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7593BDB" w14:textId="434E15A7" w:rsidR="00AF103B" w:rsidRPr="00AF103B" w:rsidRDefault="00AF103B" w:rsidP="00AF10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F103B">
        <w:rPr>
          <w:rFonts w:cstheme="minorHAnsi"/>
          <w:sz w:val="24"/>
          <w:szCs w:val="24"/>
          <w:lang w:val="en-US"/>
        </w:rPr>
        <w:t>Pepin B, Gueudet G, Trouche L (2017b) Refining teacher design capacity: mathematics teachers’ interactions with digital curriculum resources. ZDM 49(5):799–812</w:t>
      </w:r>
    </w:p>
    <w:sectPr w:rsidR="00AF103B" w:rsidRPr="00AF10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662"/>
    <w:multiLevelType w:val="hybridMultilevel"/>
    <w:tmpl w:val="43A46D3C"/>
    <w:lvl w:ilvl="0" w:tplc="0408000F">
      <w:start w:val="1"/>
      <w:numFmt w:val="decimal"/>
      <w:lvlText w:val="%1."/>
      <w:lvlJc w:val="left"/>
      <w:pPr>
        <w:ind w:left="29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98" w:hanging="360"/>
      </w:pPr>
    </w:lvl>
    <w:lvl w:ilvl="2" w:tplc="0408001B" w:tentative="1">
      <w:start w:val="1"/>
      <w:numFmt w:val="lowerRoman"/>
      <w:lvlText w:val="%3."/>
      <w:lvlJc w:val="right"/>
      <w:pPr>
        <w:ind w:left="4418" w:hanging="180"/>
      </w:pPr>
    </w:lvl>
    <w:lvl w:ilvl="3" w:tplc="0408000F" w:tentative="1">
      <w:start w:val="1"/>
      <w:numFmt w:val="decimal"/>
      <w:lvlText w:val="%4."/>
      <w:lvlJc w:val="left"/>
      <w:pPr>
        <w:ind w:left="5138" w:hanging="360"/>
      </w:pPr>
    </w:lvl>
    <w:lvl w:ilvl="4" w:tplc="04080019" w:tentative="1">
      <w:start w:val="1"/>
      <w:numFmt w:val="lowerLetter"/>
      <w:lvlText w:val="%5."/>
      <w:lvlJc w:val="left"/>
      <w:pPr>
        <w:ind w:left="5858" w:hanging="360"/>
      </w:pPr>
    </w:lvl>
    <w:lvl w:ilvl="5" w:tplc="0408001B" w:tentative="1">
      <w:start w:val="1"/>
      <w:numFmt w:val="lowerRoman"/>
      <w:lvlText w:val="%6."/>
      <w:lvlJc w:val="right"/>
      <w:pPr>
        <w:ind w:left="6578" w:hanging="180"/>
      </w:pPr>
    </w:lvl>
    <w:lvl w:ilvl="6" w:tplc="0408000F" w:tentative="1">
      <w:start w:val="1"/>
      <w:numFmt w:val="decimal"/>
      <w:lvlText w:val="%7."/>
      <w:lvlJc w:val="left"/>
      <w:pPr>
        <w:ind w:left="7298" w:hanging="360"/>
      </w:pPr>
    </w:lvl>
    <w:lvl w:ilvl="7" w:tplc="04080019" w:tentative="1">
      <w:start w:val="1"/>
      <w:numFmt w:val="lowerLetter"/>
      <w:lvlText w:val="%8."/>
      <w:lvlJc w:val="left"/>
      <w:pPr>
        <w:ind w:left="8018" w:hanging="360"/>
      </w:pPr>
    </w:lvl>
    <w:lvl w:ilvl="8" w:tplc="0408001B" w:tentative="1">
      <w:start w:val="1"/>
      <w:numFmt w:val="lowerRoman"/>
      <w:lvlText w:val="%9."/>
      <w:lvlJc w:val="right"/>
      <w:pPr>
        <w:ind w:left="8738" w:hanging="180"/>
      </w:pPr>
    </w:lvl>
  </w:abstractNum>
  <w:abstractNum w:abstractNumId="1" w15:restartNumberingAfterBreak="0">
    <w:nsid w:val="16B7252C"/>
    <w:multiLevelType w:val="hybridMultilevel"/>
    <w:tmpl w:val="89D4EB3A"/>
    <w:lvl w:ilvl="0" w:tplc="FFFFFFF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12F47"/>
    <w:multiLevelType w:val="hybridMultilevel"/>
    <w:tmpl w:val="A858C2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11A8"/>
    <w:multiLevelType w:val="hybridMultilevel"/>
    <w:tmpl w:val="338E4C4C"/>
    <w:lvl w:ilvl="0" w:tplc="2A4CFD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56A4D"/>
    <w:multiLevelType w:val="hybridMultilevel"/>
    <w:tmpl w:val="83B2E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522CE"/>
    <w:multiLevelType w:val="hybridMultilevel"/>
    <w:tmpl w:val="54B88F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FE4"/>
    <w:multiLevelType w:val="hybridMultilevel"/>
    <w:tmpl w:val="082241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752741">
    <w:abstractNumId w:val="0"/>
  </w:num>
  <w:num w:numId="2" w16cid:durableId="1488092720">
    <w:abstractNumId w:val="4"/>
  </w:num>
  <w:num w:numId="3" w16cid:durableId="1987471729">
    <w:abstractNumId w:val="2"/>
  </w:num>
  <w:num w:numId="4" w16cid:durableId="1092818114">
    <w:abstractNumId w:val="6"/>
  </w:num>
  <w:num w:numId="5" w16cid:durableId="1000809702">
    <w:abstractNumId w:val="5"/>
  </w:num>
  <w:num w:numId="6" w16cid:durableId="860316348">
    <w:abstractNumId w:val="3"/>
  </w:num>
  <w:num w:numId="7" w16cid:durableId="82432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9F"/>
    <w:rsid w:val="00023CD9"/>
    <w:rsid w:val="000B4A9B"/>
    <w:rsid w:val="000E3B12"/>
    <w:rsid w:val="000F51B7"/>
    <w:rsid w:val="001C16C1"/>
    <w:rsid w:val="00205517"/>
    <w:rsid w:val="00263E9F"/>
    <w:rsid w:val="00277DF3"/>
    <w:rsid w:val="002C25C3"/>
    <w:rsid w:val="00305530"/>
    <w:rsid w:val="00343003"/>
    <w:rsid w:val="00356747"/>
    <w:rsid w:val="003C30E4"/>
    <w:rsid w:val="003D6B1C"/>
    <w:rsid w:val="0043495F"/>
    <w:rsid w:val="004A3001"/>
    <w:rsid w:val="004C70C0"/>
    <w:rsid w:val="005D16E4"/>
    <w:rsid w:val="006267F9"/>
    <w:rsid w:val="0063691D"/>
    <w:rsid w:val="00704058"/>
    <w:rsid w:val="007E1D73"/>
    <w:rsid w:val="00844407"/>
    <w:rsid w:val="008D1DD5"/>
    <w:rsid w:val="00985F50"/>
    <w:rsid w:val="009C0C7D"/>
    <w:rsid w:val="009C5BA3"/>
    <w:rsid w:val="00A62736"/>
    <w:rsid w:val="00A71F9C"/>
    <w:rsid w:val="00A80A3D"/>
    <w:rsid w:val="00AA31DC"/>
    <w:rsid w:val="00AF103B"/>
    <w:rsid w:val="00B70546"/>
    <w:rsid w:val="00B93E7F"/>
    <w:rsid w:val="00BB2477"/>
    <w:rsid w:val="00C10630"/>
    <w:rsid w:val="00C20DB3"/>
    <w:rsid w:val="00C956F9"/>
    <w:rsid w:val="00D06015"/>
    <w:rsid w:val="00D956B2"/>
    <w:rsid w:val="00E312C6"/>
    <w:rsid w:val="00F1065B"/>
    <w:rsid w:val="00F17DFD"/>
    <w:rsid w:val="00F35B9F"/>
    <w:rsid w:val="00F36CFE"/>
    <w:rsid w:val="00FB5A27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370"/>
  <w15:chartTrackingRefBased/>
  <w15:docId w15:val="{0735B756-1475-45D5-9317-45902611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ΛΕΜΟΝΙΔΗΣ ΧΑΡΑΛΑΜΠΟΣ</cp:lastModifiedBy>
  <cp:revision>42</cp:revision>
  <cp:lastPrinted>2020-10-17T05:54:00Z</cp:lastPrinted>
  <dcterms:created xsi:type="dcterms:W3CDTF">2020-10-15T06:59:00Z</dcterms:created>
  <dcterms:modified xsi:type="dcterms:W3CDTF">2023-10-20T09:51:00Z</dcterms:modified>
</cp:coreProperties>
</file>